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Arial" w:hAnsi="Arial" w:eastAsia="Times New Roman" w:cs="Arial"/>
          <w:color w:val="0000CC"/>
          <w:lang w:val="sr-Cyrl-CS"/>
        </w:rPr>
      </w:pPr>
      <w:bookmarkStart w:id="0" w:name="_GoBack"/>
      <w:bookmarkEnd w:id="0"/>
    </w:p>
    <w:tbl>
      <w:tblPr>
        <w:tblStyle w:val="5"/>
        <w:tblW w:w="55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0" w:hRule="atLeast"/>
          <w:jc w:val="center"/>
        </w:trPr>
        <w:tc>
          <w:tcPr>
            <w:tcW w:w="5580" w:type="dxa"/>
            <w:vAlign w:val="center"/>
          </w:tcPr>
          <w:p>
            <w:pPr>
              <w:tabs>
                <w:tab w:val="center" w:pos="4535"/>
                <w:tab w:val="right" w:pos="9071"/>
              </w:tabs>
              <w:jc w:val="center"/>
              <w:rPr>
                <w:rFonts w:ascii="Times New Roman" w:hAnsi="Times New Roman" w:eastAsia="Times New Roman" w:cs="Times New Roman"/>
                <w:b/>
                <w:color w:val="000099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99"/>
                <w:sz w:val="24"/>
                <w:szCs w:val="24"/>
              </w:rPr>
              <w:drawing>
                <wp:inline distT="0" distB="0" distL="0" distR="0">
                  <wp:extent cx="2214880" cy="2819400"/>
                  <wp:effectExtent l="0" t="0" r="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755" cy="2833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center" w:pos="4535"/>
                <w:tab w:val="right" w:pos="9071"/>
              </w:tabs>
              <w:jc w:val="center"/>
              <w:rPr>
                <w:rFonts w:ascii="Times New Roman" w:hAnsi="Times New Roman" w:eastAsia="Times New Roman" w:cs="Times New Roman"/>
                <w:b/>
                <w:color w:val="000099"/>
                <w:sz w:val="24"/>
                <w:szCs w:val="24"/>
                <w:lang w:val="sr-Cyrl-CS"/>
              </w:rPr>
            </w:pPr>
          </w:p>
          <w:p>
            <w:pPr>
              <w:tabs>
                <w:tab w:val="left" w:pos="1692"/>
                <w:tab w:val="center" w:pos="4535"/>
                <w:tab w:val="right" w:pos="9071"/>
              </w:tabs>
              <w:ind w:right="72"/>
              <w:jc w:val="center"/>
              <w:rPr>
                <w:rFonts w:ascii="Times New Roman" w:hAnsi="Times New Roman" w:eastAsia="Times New Roman" w:cs="Times New Roman"/>
                <w:b/>
                <w:color w:val="000099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99"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tabs>
                <w:tab w:val="left" w:pos="1692"/>
                <w:tab w:val="center" w:pos="4535"/>
                <w:tab w:val="right" w:pos="9071"/>
              </w:tabs>
              <w:ind w:right="72"/>
              <w:jc w:val="center"/>
              <w:rPr>
                <w:rFonts w:ascii="Times New Roman" w:hAnsi="Times New Roman" w:eastAsia="Times New Roman" w:cs="Times New Roman"/>
                <w:b/>
                <w:color w:val="000099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99"/>
                <w:sz w:val="24"/>
                <w:szCs w:val="24"/>
                <w:lang w:val="sr-Cyrl-CS"/>
              </w:rPr>
              <w:t>БАЊА ЛУКА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eastAsia="Times New Roman" w:cs="Times New Roman"/>
          <w:i/>
          <w:color w:val="000099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color w:val="000099"/>
          <w:sz w:val="24"/>
          <w:szCs w:val="24"/>
          <w:lang w:val="sr-Cyrl-BA"/>
        </w:rPr>
        <w:t>Војводе Момчила 10,12 и 16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CC"/>
          <w:sz w:val="24"/>
          <w:szCs w:val="24"/>
          <w:lang w:val="sr-Latn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color w:val="0000CC"/>
          <w:sz w:val="24"/>
          <w:szCs w:val="24"/>
          <w:lang w:val="sr-Latn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color w:val="0000CC"/>
          <w:sz w:val="24"/>
          <w:szCs w:val="24"/>
          <w:lang w:val="sr-Latn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color w:val="0000CC"/>
          <w:sz w:val="24"/>
          <w:szCs w:val="24"/>
          <w:lang w:val="sr-Latn-BA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ПРАВИЛНИК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О РАСПОДЈЕЛИ СРЕДСТАВА ПРИКУПЉЕНИХ О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  <w:t>Д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НАКНАДЕ ЗА ПРЕТВАРАЊЕ  ПОЉОПРИВРЕДНОГ ЗЕМЉИШТА У НЕПОЉОПРИВРЕДНЕ СВРХЕ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Latn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Latn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Latn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Latn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Latn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Latn-BA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  <w:t xml:space="preserve"> Новембар, 20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BA"/>
        </w:rPr>
        <w:t>2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  <w:t>1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BA"/>
        </w:rPr>
        <w:t xml:space="preserve">. 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На основу члана  35. став 2. Закона о пољопривредном земљишту (''Службени гласник Републике Српске'', бр. 93/06, 86/07, 14/10 и 5/12), у даљем тексту: Закона, и  Програма коришћења средстава од накнаде за претварање пољопривредног земљишта у непољопривредне сврхе Центра за развој пољопривреде и села Бања Лука, у даљем тексту: Центар, за 2021</w:t>
      </w:r>
      <w:r>
        <w:rPr>
          <w:rFonts w:ascii="Times New Roman" w:hAnsi="Times New Roman" w:eastAsia="Times New Roman" w:cs="Times New Roman"/>
          <w:sz w:val="24"/>
          <w:szCs w:val="24"/>
          <w:lang w:val="sr-Latn-RS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годину, прихваћеног Закључком Скупштине града Бања Лука, број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:</w:t>
      </w:r>
      <w:r>
        <w:rPr>
          <w:rFonts w:ascii="Times New Roman" w:hAnsi="Times New Roman" w:eastAsia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07-013-531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/21 ("Службени гласник града Бања Лука", број 39/21</w:t>
      </w:r>
      <w:r>
        <w:rPr>
          <w:rFonts w:ascii="Times New Roman" w:hAnsi="Times New Roman" w:eastAsia="Times New Roman" w:cs="Times New Roman"/>
          <w:sz w:val="24"/>
          <w:szCs w:val="24"/>
          <w:lang w:val="sr-Latn-BA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од 05.11.2021.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)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, Управни одбор Центра, доноси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ПРАВИЛНИК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О РАСПОДЈЕЛИ СРЕДСТАВА ПРИКУПЉЕНИХ О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  <w:t>Д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НАКНАДЕ ЗА ПРЕТВАРАЊЕ  ПОЉОПРИВРЕДНОГ ЗЕМЉИШТА У НЕПОЉОПРИВРЕДНЕ СВРХЕ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ind w:firstLine="567"/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</w:pPr>
    </w:p>
    <w:p>
      <w:pPr>
        <w:spacing w:after="0" w:line="240" w:lineRule="auto"/>
        <w:ind w:firstLine="567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  <w:t xml:space="preserve">I 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RS"/>
        </w:rPr>
        <w:t>ОПШТЕ ОДРЕДБЕ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1.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Овим Правилником утврђује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се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начин коришћења средстава прикупљених по основу промјене намјене пољопривредног земљишта у непољопривредне сврхе (у даљем тексту средства), по намјени и висини, услови за остваривање права на новчана средства,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критеријуми и поступак за додјелу,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неопходна документација и обрасци,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надзор над коришћењем одобрених средстава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и контрола реализације одобрених пројеката, мјера уређења и заштите пољопривредног земљишта.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2.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Средства утврђена у износу од 300.000 КМ, користиће се искључиво према Програму коришћења средстава од накнаде за претварање пољопривредног земљишта у непољопривредне сврхе за 2021. годину, који је прихватила Скупштина Града, на сједници одржаној 29.10.2021. године.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Средства која буду одобрена по овом основу су бесповратна и имају карактер субвенције.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У складу с одредбама Закона о пољопривредном земљишту, средства ће се користити за сљедеће намјене: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оспособљавање и уређење пољопривредних земљишта која су деградирана, запуштена, која су лошијег  квалитета или су неплодна, у износу 15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0.000 КМ;</w:t>
      </w:r>
    </w:p>
    <w:p>
      <w:pPr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поправку и побољшање плодности земљишта,  у износу од 120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.000 КМ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CS"/>
        </w:rPr>
        <w:t>,</w:t>
      </w:r>
    </w:p>
    <w:p>
      <w:pPr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спровођење противерозивних мјера или мелиорације пољопривредног земљишта слабијег квалитета, у износу од 2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0.000 КМ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CS"/>
        </w:rPr>
        <w:t>,</w:t>
      </w:r>
    </w:p>
    <w:p>
      <w:pPr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спровођење поступка комасације, у износу од 1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  <w:t>0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.000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RS"/>
        </w:rPr>
        <w:t xml:space="preserve"> KM</w:t>
      </w:r>
      <w:r>
        <w:rPr>
          <w:rFonts w:ascii="Times New Roman" w:hAnsi="Times New Roman" w:eastAsia="Times New Roman" w:cs="Times New Roman"/>
          <w:sz w:val="24"/>
          <w:szCs w:val="24"/>
          <w:lang w:val="sr-Latn-RS"/>
        </w:rPr>
        <w:t>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sr-Latn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3.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BA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За реализацију и провођење мјера из члана 2. могу се додијелити средства у висини  до 60% вриједности прихваћеног пројекта, односно по намјени у максималном износу за један пројекат: 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BA"/>
        </w:rPr>
      </w:pPr>
    </w:p>
    <w:p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до</w:t>
      </w:r>
      <w:r>
        <w:rPr>
          <w:rFonts w:ascii="Times New Roman" w:hAnsi="Times New Roman" w:eastAsia="Times New Roman" w:cs="Times New Roman"/>
          <w:sz w:val="24"/>
          <w:szCs w:val="24"/>
          <w:lang w:val="sr-Latn-BA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BA"/>
        </w:rPr>
        <w:t>3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RS"/>
        </w:rPr>
        <w:t>.000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КМ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- за пројекат оспособљавања и уређења пољопривредних земљишта која су деградирана, запуштена, која су лошијег квалитета или су неплодна, </w:t>
      </w:r>
    </w:p>
    <w:p>
      <w:pPr>
        <w:spacing w:after="0" w:line="240" w:lineRule="auto"/>
        <w:ind w:left="567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до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RS"/>
        </w:rPr>
        <w:t xml:space="preserve">  2.500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КМ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- за пројекат поправке и побољшања плодности земљишта, </w:t>
      </w:r>
    </w:p>
    <w:p>
      <w:pPr>
        <w:pStyle w:val="9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до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BA"/>
        </w:rPr>
        <w:t xml:space="preserve"> 3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RS"/>
        </w:rPr>
        <w:t>.000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КМ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- за пројекат спровођења противерозивних мјера или мелиорација пољопривредног земљишта слабијег квалитета, </w:t>
      </w:r>
    </w:p>
    <w:p>
      <w:pPr>
        <w:spacing w:after="0" w:line="240" w:lineRule="auto"/>
        <w:ind w:left="567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bs-Cyrl-BA"/>
        </w:rPr>
        <w:t>до</w:t>
      </w:r>
      <w:r>
        <w:rPr>
          <w:rFonts w:ascii="Times New Roman" w:hAnsi="Times New Roman" w:eastAsia="Times New Roman" w:cs="Times New Roman"/>
          <w:b/>
          <w:sz w:val="24"/>
          <w:szCs w:val="24"/>
          <w:lang w:val="bs-Cyrl-BA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BA"/>
        </w:rPr>
        <w:t xml:space="preserve"> 2.</w:t>
      </w:r>
      <w:r>
        <w:rPr>
          <w:rFonts w:ascii="Times New Roman" w:hAnsi="Times New Roman" w:eastAsia="Times New Roman" w:cs="Times New Roman"/>
          <w:b/>
          <w:sz w:val="24"/>
          <w:szCs w:val="24"/>
          <w:lang w:val="sr-Latn-RS"/>
        </w:rPr>
        <w:t xml:space="preserve">000 </w:t>
      </w:r>
      <w:r>
        <w:rPr>
          <w:rFonts w:ascii="Times New Roman" w:hAnsi="Times New Roman" w:eastAsia="Times New Roman" w:cs="Times New Roman"/>
          <w:b/>
          <w:sz w:val="24"/>
          <w:szCs w:val="24"/>
          <w:lang w:val="bs-Cyrl-BA"/>
        </w:rPr>
        <w:t>КМ</w:t>
      </w:r>
      <w:r>
        <w:rPr>
          <w:rFonts w:ascii="Times New Roman" w:hAnsi="Times New Roman" w:eastAsia="Times New Roman" w:cs="Times New Roman"/>
          <w:sz w:val="24"/>
          <w:szCs w:val="24"/>
          <w:lang w:val="bs-Cyrl-BA"/>
        </w:rPr>
        <w:t xml:space="preserve"> - за пројекат спровођење поступка комасације</w:t>
      </w:r>
      <w:r>
        <w:rPr>
          <w:rFonts w:ascii="Times New Roman" w:hAnsi="Times New Roman" w:eastAsia="Times New Roman" w:cs="Times New Roman"/>
          <w:b/>
          <w:sz w:val="24"/>
          <w:szCs w:val="24"/>
          <w:lang w:val="bs-Cyrl-BA"/>
        </w:rPr>
        <w:t xml:space="preserve">. </w:t>
      </w:r>
    </w:p>
    <w:p>
      <w:pPr>
        <w:spacing w:after="0" w:line="240" w:lineRule="auto"/>
        <w:ind w:left="810"/>
        <w:contextualSpacing/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</w:pPr>
    </w:p>
    <w:p>
      <w:pPr>
        <w:spacing w:after="0" w:line="240" w:lineRule="auto"/>
        <w:ind w:left="810"/>
        <w:contextualSpacing/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</w:pPr>
    </w:p>
    <w:p>
      <w:pPr>
        <w:spacing w:after="0" w:line="240" w:lineRule="auto"/>
        <w:ind w:left="810" w:hanging="810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4.</w:t>
      </w:r>
    </w:p>
    <w:p>
      <w:pPr>
        <w:spacing w:after="0" w:line="240" w:lineRule="auto"/>
        <w:ind w:left="810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</w:pP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 xml:space="preserve">          У оквиру планираних средстава за сваку од намјена утврђених у члану 2. овог правилника, иста ће се распоређивати у омјеру 40 % за комерцијална пољопривредна газдинства, 40% за некомерцијална пољопривредна газдинства и 20 % за пр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Latn-BA"/>
        </w:rPr>
        <w:t>a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>вна лица чија је основна дјелатност пољопривреда.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</w:pP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5.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У случају неподношења или мањег броја захтјева за неку од намјена из члана 3. овог правилника, директор Центра на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приједлог Комисије за избор најповољнијих пројеката у пољопривреди, може извршити прерасподјелу средстава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у омјеру другачијем од утврђеног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за одређену намјену.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sr-Cyrl-RS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sr-Cyrl-RS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  <w:t xml:space="preserve">II 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RS"/>
        </w:rPr>
        <w:t>УСЛОВИ ЗА ОСТВАРИВАЊЕ ПРАВА НА НОВЧАНА СРЕДСТВА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Члан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6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Право на кориштење средстава из члана 2. овог правилника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имају физичка и правна лица, која се баве пољопривредном производњом на руралном простору Града, и испуњавају сљедеће услове: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3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да имају мјесто сталног пребивалишта на руралном подручју града,</w:t>
      </w:r>
    </w:p>
    <w:p>
      <w:pPr>
        <w:tabs>
          <w:tab w:val="left" w:pos="567"/>
        </w:tabs>
        <w:spacing w:after="0" w:line="240" w:lineRule="auto"/>
        <w:ind w:left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numPr>
          <w:ilvl w:val="0"/>
          <w:numId w:val="3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да им је сједиште регистрације на подручју града, </w:t>
      </w:r>
    </w:p>
    <w:p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numPr>
          <w:ilvl w:val="0"/>
          <w:numId w:val="3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да су регистровани у систему базе података Центра,</w:t>
      </w:r>
    </w:p>
    <w:p>
      <w:pPr>
        <w:tabs>
          <w:tab w:val="left" w:pos="567"/>
        </w:tabs>
        <w:spacing w:after="0" w:line="240" w:lineRule="auto"/>
        <w:ind w:left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numPr>
          <w:ilvl w:val="0"/>
          <w:numId w:val="3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да су уписани у Регистар пољопривредних газдинстава у АПИФ-у (комерцијално или некомерцијално пољопривредно газдинство), </w:t>
      </w:r>
    </w:p>
    <w:p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numPr>
          <w:ilvl w:val="0"/>
          <w:numId w:val="3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да су власници предметног земљишта или да имају уговор за земљиште узето у  закуп директно од власника парцеле, сачињен и овјерен код нотара,</w:t>
      </w:r>
    </w:p>
    <w:p>
      <w:pPr>
        <w:tabs>
          <w:tab w:val="left" w:pos="567"/>
        </w:tabs>
        <w:spacing w:after="0" w:line="240" w:lineRule="auto"/>
        <w:ind w:left="128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 </w:t>
      </w:r>
    </w:p>
    <w:p>
      <w:pPr>
        <w:numPr>
          <w:ilvl w:val="0"/>
          <w:numId w:val="3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да су измирили све обавезе према Граду и Пореској управи РС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,</w:t>
      </w:r>
    </w:p>
    <w:p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numPr>
          <w:ilvl w:val="0"/>
          <w:numId w:val="3"/>
        </w:numPr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да нису дужници Центра за развој пољопривреде и села (провјера у службеним евиденцијама Центра).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7.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</w:pP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sr-Latn-CS"/>
        </w:rPr>
        <w:t xml:space="preserve">         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 xml:space="preserve">Минимална површина пољопривредног земљишта које се може обухватити овим мјерама је 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Latn-BA"/>
        </w:rPr>
        <w:t>0,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>4 хектар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Latn-BA"/>
        </w:rPr>
        <w:t>a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 xml:space="preserve">, за све предложене мјере, а максимална укупна површина није већа од 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Latn-BA"/>
        </w:rPr>
        <w:t>3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 xml:space="preserve"> ха. Величина појединачних парцела не може бити мања од 0,4 хектара, осим за пројекат спровођења поступка комасације. 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 xml:space="preserve">         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8.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Право на новчана средства за уређење пољопривредног земљишта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не могу остварити физичка лица носиоци породичног пољопривредног газдинства и предузетници (с.п.),  који: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4"/>
        </w:numPr>
        <w:tabs>
          <w:tab w:val="left" w:pos="567"/>
        </w:tabs>
        <w:spacing w:after="0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су раније конкурисали и добили средства за исту парцелу (к.ч.), осим за поправку и побољшање плодности земљишта за коју се може аплицирати након истека 4 године од реализације пројекта (кандидати који су последњи пут остварили право на средства за поправку плодности на истој парцели у 2015. години или раније могу аплицирати за средства у 2021. години),</w:t>
      </w:r>
    </w:p>
    <w:p>
      <w:pPr>
        <w:numPr>
          <w:ilvl w:val="0"/>
          <w:numId w:val="4"/>
        </w:numPr>
        <w:tabs>
          <w:tab w:val="left" w:pos="567"/>
        </w:tabs>
        <w:spacing w:after="0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су остварили право на подстицајна средства, односно уколико субвенције укупно одобрених средстава износе више од 2.000,00 КМ. у 2021. години, </w:t>
      </w:r>
    </w:p>
    <w:p>
      <w:pPr>
        <w:numPr>
          <w:ilvl w:val="0"/>
          <w:numId w:val="4"/>
        </w:numPr>
        <w:tabs>
          <w:tab w:val="left" w:pos="567"/>
        </w:tabs>
        <w:spacing w:after="0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имају неизмирене обавезе према Пореској управи или граду Бања Лука,</w:t>
      </w:r>
    </w:p>
    <w:p>
      <w:pPr>
        <w:numPr>
          <w:ilvl w:val="0"/>
          <w:numId w:val="4"/>
        </w:numPr>
        <w:tabs>
          <w:tab w:val="left" w:pos="567"/>
        </w:tabs>
        <w:spacing w:after="0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имају нереализована подстицајна средства добијена од стране Центра из претходног периода или су утврђене неправилности и ненамјенско кориштење средстава подстицаја и додјељених средстава за ове намјене.</w:t>
      </w:r>
    </w:p>
    <w:p>
      <w:pPr>
        <w:numPr>
          <w:ilvl w:val="0"/>
          <w:numId w:val="4"/>
        </w:numPr>
        <w:tabs>
          <w:tab w:val="left" w:pos="567"/>
        </w:tabs>
        <w:spacing w:after="0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су остварили средства за уређење парцеле, а за исту се у поступку испуњености услова утврди да није приведена култури или је запуштена и деградирана,</w:t>
      </w:r>
    </w:p>
    <w:p>
      <w:pPr>
        <w:numPr>
          <w:ilvl w:val="0"/>
          <w:numId w:val="4"/>
        </w:numPr>
        <w:tabs>
          <w:tab w:val="left" w:pos="567"/>
        </w:tabs>
        <w:spacing w:after="0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имају неизмирене обавезе према Центру или су тужени од стране Центра.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  <w:t>Члан 9.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Право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на новчана средства за уређење пољопривредног земљишта не може остварити закупопримац уколико је за исту парцелу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 која је предмет закупа (иста к.ч.), друго лице користило средства по овом основу.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      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Уколико се утврди да власник не одржава парцелу и да није приведена култури, за коју је у претходном периоду користио средства за уређење деградираних и запуштених парцела, комисија ће ускратити право на даље кориштење средства за уређење земљишта за било коју мјеру предвиђену овим правилником. </w:t>
      </w:r>
    </w:p>
    <w:p>
      <w:pPr>
        <w:autoSpaceDE w:val="0"/>
        <w:autoSpaceDN w:val="0"/>
        <w:adjustRightInd w:val="0"/>
        <w:spacing w:after="0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  <w:t xml:space="preserve">III 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RS"/>
        </w:rPr>
        <w:t>ПОСТУПАК ДОДЈЕЛЕ НОВЧАНИХ СРЕДСТАВА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Члан 10.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Средства из члана 2. овог правилника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додјељују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се путем Јавног  позива,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у складу с овим правилником и расположивим средствима, планираним у буџету Града.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Јавни позив ће бити објављен на веб-страницама Центра и Града, у средствима јавног информисања и истакнут на огласним таблама Центра и канцеларија мјесних заједница на руралном подручју града Бањалуке.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Пријаве по Јавном  позиву за законом предвиђене мјере уређења земљишта подносе се поштом или лично на протокол Центра за развој пољопривреде и села, улица Војводе Момчила, бр: 12.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tabs>
          <w:tab w:val="left" w:pos="36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        Временски период трајања јавног позива износи тридесет (30) дана од дана објављивања.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11.</w:t>
      </w:r>
    </w:p>
    <w:p>
      <w:pPr>
        <w:tabs>
          <w:tab w:val="left" w:pos="993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tabs>
          <w:tab w:val="left" w:pos="993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          Апликанти се на јавни позив пријављују</w:t>
      </w:r>
      <w:r>
        <w:rPr>
          <w:rFonts w:ascii="Times New Roman" w:hAnsi="Times New Roman" w:eastAsia="Times New Roman" w:cs="Times New Roman"/>
          <w:sz w:val="24"/>
          <w:szCs w:val="24"/>
          <w:lang w:val="sr-Latn-B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подношењем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пријавног обрасца који је </w:t>
      </w:r>
      <w:r>
        <w:rPr>
          <w:rFonts w:ascii="Times New Roman" w:hAnsi="Times New Roman" w:eastAsia="Times New Roman" w:cs="Times New Roman"/>
          <w:sz w:val="24"/>
          <w:szCs w:val="24"/>
          <w:lang w:val="sr-Cyrl-BA" w:eastAsia="zh-CN"/>
        </w:rPr>
        <w:t>саставни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дио овог правилника (Образац бр. 1) и овјерене Изјаве (Образац бр. 2) доступним у просторијама Центра, мјесној заједници или на веб страницама Центра и Града.</w:t>
      </w:r>
    </w:p>
    <w:p>
      <w:pPr>
        <w:tabs>
          <w:tab w:val="left" w:pos="993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val="sr-Cyrl-BA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12.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 xml:space="preserve">Директор Центра рјешењем именује Комисију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за избор најповољнијих пројеката у пољопривреди, која се састоји од чланова и замјенских чланова комисије,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од којих су 3 из реда запослених у Центру и 2 члана предложена из Одјељења за привреду Града.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При избору најповољнијих пројеката у пољопривреди на подручју града Бањалуке, комисија ће сходно расположивим средствима, поступати у складу с одредбама овог правилника и пословником о раду.  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13.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Комисија има задатак да: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 xml:space="preserve">након што буде именована Рјешењем директора Центра, донесе Пословник о раду Комисије, </w:t>
      </w:r>
    </w:p>
    <w:p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Latn-CS"/>
        </w:rPr>
        <w:t xml:space="preserve">распише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Ј</w:t>
      </w:r>
      <w:r>
        <w:rPr>
          <w:rFonts w:ascii="Times New Roman" w:hAnsi="Times New Roman" w:eastAsia="Times New Roman" w:cs="Times New Roman"/>
          <w:sz w:val="24"/>
          <w:szCs w:val="24"/>
          <w:lang w:val="sr-Latn-CS"/>
        </w:rPr>
        <w:t>авни позив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;</w:t>
      </w:r>
    </w:p>
    <w:p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размотри приспјеле захтјеве и изврши контролу испуњености услова из Јавног  позива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и овог правилника (у складу са ситуацијом, дефинисаће се прецизније Пословником, начин рада Комисије);</w:t>
      </w:r>
    </w:p>
    <w:p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изврши бодовање сваког захтјева појединачно, у складу с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критеријумима бодовања утврђеним у члану 20. овог правилника;</w:t>
      </w:r>
    </w:p>
    <w:p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изврши обилазак терена</w:t>
      </w:r>
      <w:r>
        <w:rPr>
          <w:rFonts w:ascii="Times New Roman" w:hAnsi="Times New Roman" w:eastAsia="Times New Roman" w:cs="Times New Roman"/>
          <w:sz w:val="24"/>
          <w:szCs w:val="24"/>
          <w:lang w:val="sr-Latn-CS"/>
        </w:rPr>
        <w:t>,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 узме узорке земљишта за анализу и дефинише мјеру и уз сагласност власника - подносиоца захтјева изврши достављање узорака на анализу;</w:t>
      </w:r>
    </w:p>
    <w:p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сачини појединачне записнике са фото-документацијом;</w:t>
      </w:r>
    </w:p>
    <w:p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сачини ранг листу пријављених кандидата, појединачно за сваку од намјена утврђених у члану 3. правилника, с висином новчаних средстава која се одобравају по основу укупног броја бодова и у распонима утврђеним у члану 20. правилника;</w:t>
      </w:r>
    </w:p>
    <w:p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након утврђивања ранг листе,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припреми приједлог одлуке о додјели средстава, коју упућује Управном одбору Центра на доношење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, </w:t>
      </w:r>
    </w:p>
    <w:p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обавијести апликанте о резултатима п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озива, објавом Одлуке о додјели средстава и ранг листе (прилог Одлуци) на огласној табли Центра, у канцеларијама мјесних заједница и на веб страницама Центра и Града);</w:t>
      </w:r>
    </w:p>
    <w:p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сачини извјештај о раду и начину додјеле средстава.</w:t>
      </w:r>
    </w:p>
    <w:p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                              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14.</w:t>
      </w: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Израда пројеката вршиће се након обиласка терена на основу утврђеног стања на парцелама и на основу предложених мјера за поправку плодности датих у налазу о извршеној анализи земљишта. Комисија Центра ће израдити пројекат и процјену трошкова за провођење мјере уређења деградираних и запуштених парцела (П-1 пројекат), као и за мјере које се односе на поправку плодности земљишта (П-2 пројекат).</w:t>
      </w: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lang w:val="bs-Cyrl-BA"/>
        </w:rPr>
        <w:t xml:space="preserve">Заинтересованим пољопривредним газдинствима чије парцеле према процјени комисије подлежу мјерама заштите од ерозије, наводњавање или одводња,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комисија ће</w:t>
      </w:r>
      <w:r>
        <w:rPr>
          <w:rFonts w:ascii="Times New Roman" w:hAnsi="Times New Roman" w:eastAsia="Times New Roman" w:cs="Times New Roman"/>
          <w:sz w:val="24"/>
          <w:szCs w:val="24"/>
          <w:lang w:val="bs-Cyrl-BA"/>
        </w:rPr>
        <w:t xml:space="preserve"> израду пројекта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за спровођење противерозивних мјера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или мелиорације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 (П-3 пројекат), упутити корисника на надлежну, стручну институцију 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>и лица која за то имају потребну компетентност и легитимитет.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15.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tabs>
          <w:tab w:val="left" w:pos="630"/>
          <w:tab w:val="left" w:pos="851"/>
          <w:tab w:val="left" w:pos="1080"/>
        </w:tabs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            Одобравање и дозначавање средстава вршиће се након проведених радова на парцелама које су деградиране, запуштене, неплодне, а подразумјевају провођење мјера као што су: крчење шибља, уништавање живица и корова, дубоко орање, одстрањивање биљних остатака (жила, корења и др.), равнање депресија на парцели, а према дефинисаним мјерама у сваком појединачном пројекту. За ову мјеру предвиђен је поновни излазак Комисије, ради утврђивања спровођења задатих агротехничких мјера. </w:t>
      </w:r>
    </w:p>
    <w:p>
      <w:pPr>
        <w:tabs>
          <w:tab w:val="left" w:pos="630"/>
          <w:tab w:val="left" w:pos="851"/>
          <w:tab w:val="left" w:pos="1080"/>
        </w:tabs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             Други комисијски теренски излазак се обавља најкасније 30 дана од дана првог теренског увида и дефинисања мјере. Приликом контроле реализације предвиђених агротехничких мјера на парцели  комисија ће сачинити записник са фотозаписом затеченог стања парцеле.  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16.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               Одобравање и дозначавање средстава за провођење осталих мјера поправке плодности на парцели или провођење мелиоративних мјера вршиће се након достављања доказа о набавци материјала за провођење агротехничких мјера и поправку плодности према пројекту.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</w:t>
      </w:r>
    </w:p>
    <w:p>
      <w:pPr>
        <w:tabs>
          <w:tab w:val="left" w:pos="630"/>
          <w:tab w:val="left" w:pos="851"/>
          <w:tab w:val="left" w:pos="1080"/>
        </w:tabs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                 Корисници средстава ће имати обавезу да у задатом року доставе доказ о извршеним улагањима за материјал за поправку плодности на парцели у количини која ће бити наведена у препоруци након анализе и мјерама дефинисаним у пројекту за поправку квалитета земљишта (кречни материјал, минерално ђубриво и сл.). За набавку материјала прихватиће се као доказ искључиво фискални рачун и фактура. </w:t>
      </w:r>
    </w:p>
    <w:p>
      <w:pPr>
        <w:tabs>
          <w:tab w:val="left" w:pos="630"/>
          <w:tab w:val="left" w:pos="851"/>
          <w:tab w:val="left" w:pos="1080"/>
        </w:tabs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               За потребе израде финансијске структуре у пројекту у случају ангажовања радне снаге без накнаде и властитог рада чланова на газдинству, за растурање стајњака и набавку истог, вриједност радова и органског материјала потребног за провођење мјера на парцели, ће се рачунати према датом цјеновнику који ће се дефинисати у пословнику о раду комисије.  Вриједност радова ће бити одређен и за све агротехничке мјере, а прерачунаваће се на реалну површину у складу са пројектом предвиђеним мјерама.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17.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          </w:t>
      </w:r>
      <w:r>
        <w:rPr>
          <w:rFonts w:ascii="Times New Roman" w:hAnsi="Times New Roman" w:eastAsia="Times New Roman" w:cs="Times New Roman"/>
          <w:sz w:val="24"/>
          <w:szCs w:val="24"/>
          <w:lang w:val="sr-Latn-CS"/>
        </w:rPr>
        <w:t xml:space="preserve">Центар ће са сваким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корисником којем су одобрена средства по основу одлуке, закључити уговор којим се </w:t>
      </w:r>
      <w:r>
        <w:rPr>
          <w:rFonts w:ascii="Times New Roman" w:hAnsi="Times New Roman" w:eastAsia="Times New Roman" w:cs="Times New Roman"/>
          <w:sz w:val="24"/>
          <w:szCs w:val="24"/>
        </w:rPr>
        <w:t>регулишу међусобна права и обавезе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 xml:space="preserve">           Корисник који је остварио право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Latn-BA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 xml:space="preserve">на средства за неку од предвиђених мјера, дужан је да на предметној парцели организује производњу према пројекту и цјелокупну површину пољопривредног земљишта која је била предмет уговора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одржава и намјенски користи.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18.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У случају да кандидати којима су у складу с одлуком одобрена новчана средства одустану или се не одазову потписивању уговора у предвиђеном року, средства ће се додијелити сљедећем рангираном кандидату.</w:t>
      </w: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Одустанком се сматра уколико се корисник којем су одобрена средства не одазове потписивању уговора у предвиђеном року (15 дана), што је својеручно потписао у изјави (Образац бр.2). </w:t>
      </w: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19.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Пријаве које нису достављене у прописаном року или су некомплетне, као и оне које не испуњавају услове јавног позива, комисија неће узети у разматрање.</w:t>
      </w:r>
    </w:p>
    <w:p>
      <w:pPr>
        <w:tabs>
          <w:tab w:val="left" w:pos="851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  <w:t>Критеријуми бодовања</w:t>
      </w:r>
    </w:p>
    <w:p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20.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При оцјењивању и избор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у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најповољнијих пројеката комисија ће се руководити сљедећим критеријумима: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</w:t>
      </w:r>
    </w:p>
    <w:tbl>
      <w:tblPr>
        <w:tblStyle w:val="6"/>
        <w:tblpPr w:leftFromText="180" w:rightFromText="180" w:vertAnchor="text" w:horzAnchor="margin" w:tblpX="250" w:tblpY="8"/>
        <w:tblW w:w="92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3"/>
        <w:gridCol w:w="1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Latn-RS"/>
              </w:rPr>
              <w:t xml:space="preserve">                                      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/>
              </w:rPr>
              <w:t>категорија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/>
              </w:rPr>
              <w:t>број бодова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Комерцијално газдинство 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Некомерцијално газдинство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GB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Ако нису добијали средства по наведеном основу  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Ако нису добијали средства по наведеном основу од 2016. год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Ако нису добијали подстицајна средства за развој пољопривреде путем Центра у посљедње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године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Ако нису добијали подстицајна средства за развој пољопривреде путем Центра у претходној години 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Породице погинулих бораца, породице 4+ и социјално угрожене пород.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РВИ од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  <w:t>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CS"/>
              </w:rPr>
              <w:t xml:space="preserve"> до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  <w:t xml:space="preserve"> IV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категорије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РВИ од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  <w:t>V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CS"/>
              </w:rPr>
              <w:t xml:space="preserve"> до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  <w:t xml:space="preserve"> X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категорије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  <w:tcBorders>
              <w:bottom w:val="dashed" w:color="auto" w:sz="4" w:space="0"/>
            </w:tcBorders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Површина земљишта:</w:t>
            </w:r>
          </w:p>
        </w:tc>
        <w:tc>
          <w:tcPr>
            <w:tcW w:w="1495" w:type="dxa"/>
            <w:tcBorders>
              <w:bottom w:val="dashed" w:color="auto" w:sz="4" w:space="0"/>
            </w:tcBorders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од 1 до 2 ха </w:t>
            </w:r>
          </w:p>
        </w:tc>
        <w:tc>
          <w:tcPr>
            <w:tcW w:w="1495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од 2 до 3 ха </w:t>
            </w:r>
          </w:p>
        </w:tc>
        <w:tc>
          <w:tcPr>
            <w:tcW w:w="1495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од 3 до 4 ха </w:t>
            </w:r>
          </w:p>
        </w:tc>
        <w:tc>
          <w:tcPr>
            <w:tcW w:w="1495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  <w:tcBorders>
              <w:top w:val="dashed" w:color="auto" w:sz="4" w:space="0"/>
            </w:tcBorders>
          </w:tcPr>
          <w:p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од 4 до 5 ха </w:t>
            </w:r>
          </w:p>
        </w:tc>
        <w:tc>
          <w:tcPr>
            <w:tcW w:w="1495" w:type="dxa"/>
            <w:tcBorders>
              <w:top w:val="dashed" w:color="auto" w:sz="4" w:space="0"/>
            </w:tcBorders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val="sr-Cyrl-RS"/>
        </w:rPr>
        <w:t xml:space="preserve">Бодовање за правна лица, предузетнике (с.п.)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6"/>
        <w:tblpPr w:leftFromText="180" w:rightFromText="180" w:vertAnchor="text" w:horzAnchor="margin" w:tblpX="250" w:tblpY="8"/>
        <w:tblW w:w="92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3"/>
        <w:gridCol w:w="1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Latn-RS"/>
              </w:rPr>
              <w:t xml:space="preserve">                                      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/>
              </w:rPr>
              <w:t>категорија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/>
              </w:rPr>
              <w:t>број бодова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Сједиште регистрације на руралном подручју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bs-Cyrl-BA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Сједиште регистрације у градском подручју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Ако нису добијали средства по наведеном основу  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Ако нису добијали средства по наведеном основу од 2016. год. 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Ако нису добијали подстицајна средства за развој пољопривреде путем Центра у посљедње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године (2019. и 2020.)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Ако нису добијали подстицајна средства за развој пољопривреде путем Центра у претходној години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Пољопривредна производња примарна и основна дјелатност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Пољопривреда претежна дјелатност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Површина земљишта:</w:t>
            </w:r>
          </w:p>
        </w:tc>
        <w:tc>
          <w:tcPr>
            <w:tcW w:w="1495" w:type="dxa"/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од 1 до 2 ха </w:t>
            </w:r>
          </w:p>
        </w:tc>
        <w:tc>
          <w:tcPr>
            <w:tcW w:w="1495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од 2 до 3 ха </w:t>
            </w:r>
          </w:p>
        </w:tc>
        <w:tc>
          <w:tcPr>
            <w:tcW w:w="1495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од 3 до 4 ха </w:t>
            </w:r>
          </w:p>
        </w:tc>
        <w:tc>
          <w:tcPr>
            <w:tcW w:w="1495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  <w:tcBorders>
              <w:top w:val="dashed" w:color="auto" w:sz="4" w:space="0"/>
            </w:tcBorders>
          </w:tcPr>
          <w:p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од 4 до 5 ха</w:t>
            </w:r>
          </w:p>
        </w:tc>
        <w:tc>
          <w:tcPr>
            <w:tcW w:w="1495" w:type="dxa"/>
            <w:tcBorders>
              <w:top w:val="dashed" w:color="auto" w:sz="4" w:space="0"/>
            </w:tcBorders>
            <w:vAlign w:val="center"/>
          </w:tcPr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Оцјењивање појединачних пријава (пројеката) врши се збрајањем бодова утврђених за сваку категорију у претходној табели, а на основу укупног броја освојених бодова одредиће се проценат одобрених средстава и то: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до 20 бодова одобраваће се до 40% средстава,</w:t>
      </w:r>
    </w:p>
    <w:p>
      <w:pPr>
        <w:spacing w:after="0" w:line="240" w:lineRule="auto"/>
        <w:ind w:left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од 21 до 30 бодова, одобраваће се до 50% средстава и</w:t>
      </w:r>
    </w:p>
    <w:p>
      <w:pPr>
        <w:spacing w:after="0" w:line="240" w:lineRule="auto"/>
        <w:ind w:left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преко 30 бодова, одобраваће се до 60% средстава од укупне вриједности пројекта.</w:t>
      </w:r>
    </w:p>
    <w:p>
      <w:pPr>
        <w:tabs>
          <w:tab w:val="left" w:leader="hyphen" w:pos="7920"/>
          <w:tab w:val="left" w:leader="hyphen" w:pos="8505"/>
        </w:tabs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tabs>
          <w:tab w:val="left" w:leader="hyphen" w:pos="7920"/>
          <w:tab w:val="left" w:leader="hyphen" w:pos="850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У случају недостатка расположивих средстава за конкретну намјену, Комисија ће поступати у складу с Пословником о раду у којем ће се прецизније утврдити начин расподјеле, односно додатни критеријуми по основу којих ће се утврђивати висина новчаних средстава која се додјељују корисницима.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  <w:t xml:space="preserve">IV 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CS"/>
        </w:rPr>
        <w:t>ПОТРЕБНА ДОКУМЕНТАЦИЈА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21.</w:t>
      </w: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Приликом подношења захтјева по Јавном позиву, апликанти су</w:t>
      </w:r>
      <w:r>
        <w:rPr>
          <w:rFonts w:ascii="Times New Roman" w:hAnsi="Times New Roman" w:eastAsia="Times New Roman" w:cs="Times New Roman"/>
          <w:sz w:val="24"/>
          <w:szCs w:val="24"/>
          <w:lang w:val="sr-Latn-CS"/>
        </w:rPr>
        <w:t>,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уз захтјев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 за провођење мјера на пољопривредном земљишту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(Пријавни образац бр. 1),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дужни приложити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сљедећу документацију: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val="ru-RU"/>
        </w:rPr>
        <w:t>За физичка лица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hanging="14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Фотокопија личне карте, </w:t>
      </w:r>
    </w:p>
    <w:p>
      <w:pPr>
        <w:tabs>
          <w:tab w:val="left" w:pos="426"/>
          <w:tab w:val="left" w:pos="993"/>
        </w:tabs>
        <w:spacing w:after="0" w:line="240" w:lineRule="auto"/>
        <w:ind w:left="14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hanging="14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Увјерење  о пребивалишту,</w:t>
      </w:r>
    </w:p>
    <w:p>
      <w:pPr>
        <w:tabs>
          <w:tab w:val="left" w:pos="426"/>
          <w:tab w:val="left" w:pos="993"/>
        </w:tabs>
        <w:spacing w:after="0" w:line="240" w:lineRule="auto"/>
        <w:ind w:left="14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Посједовни лист (не старији од 6 мјесеци) са назнаком парцеле која се жели уредити и копију катастарског плана за предметно земљиште, </w:t>
      </w:r>
    </w:p>
    <w:p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ind w:left="851" w:hanging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Уколико земљиште има више власника потребна је сагласност сувласника,</w:t>
      </w:r>
    </w:p>
    <w:p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ind w:left="851" w:hanging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Уколико је земљиште предмет оставинске расправе, потребно је доставити доказ од суда да је поступак у току, или у случају окончања поступка, овјерено рјешење о насљеђивању,</w:t>
      </w:r>
    </w:p>
    <w:p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ind w:left="851" w:hanging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Уговор о закупу земљишта овјерен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од стране надлежних органа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,</w:t>
      </w:r>
    </w:p>
    <w:p>
      <w:pPr>
        <w:tabs>
          <w:tab w:val="left" w:pos="851"/>
          <w:tab w:val="left" w:pos="993"/>
        </w:tabs>
        <w:spacing w:after="0" w:line="240" w:lineRule="auto"/>
        <w:ind w:left="85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Фотокопија потврде о регистрацији газдинства код АПИФ-а (регистровани послије 01.11.2020. године), </w:t>
      </w:r>
    </w:p>
    <w:p>
      <w:pPr>
        <w:tabs>
          <w:tab w:val="left" w:pos="426"/>
          <w:tab w:val="left" w:pos="993"/>
        </w:tabs>
        <w:spacing w:after="0" w:line="240" w:lineRule="auto"/>
        <w:ind w:left="425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Фотокопија текућег рачуна,</w:t>
      </w:r>
    </w:p>
    <w:p>
      <w:pPr>
        <w:tabs>
          <w:tab w:val="left" w:pos="426"/>
          <w:tab w:val="left" w:pos="993"/>
        </w:tabs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Рјешење Одјељења за борачко-инвалидску заштиту Градске управе града Бањалука - за породице погинулих бораца и ратне војне инвалиде, </w:t>
      </w:r>
    </w:p>
    <w:p>
      <w:pPr>
        <w:tabs>
          <w:tab w:val="left" w:pos="426"/>
          <w:tab w:val="left" w:pos="993"/>
        </w:tabs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У</w:t>
      </w:r>
      <w:r>
        <w:rPr>
          <w:rFonts w:ascii="Times New Roman" w:hAnsi="Times New Roman" w:eastAsia="Times New Roman" w:cs="Times New Roman"/>
          <w:sz w:val="24"/>
          <w:szCs w:val="24"/>
        </w:rPr>
        <w:t>вјерење о измиреним пореским обавезама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закључно са 31.12.2020. године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(</w:t>
      </w:r>
      <w:r>
        <w:rPr>
          <w:rFonts w:ascii="Times New Roman" w:hAnsi="Times New Roman" w:eastAsia="Times New Roman" w:cs="Times New Roman"/>
          <w:sz w:val="24"/>
          <w:szCs w:val="24"/>
        </w:rPr>
        <w:t>Пореска управа РС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)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, </w:t>
      </w:r>
    </w:p>
    <w:p>
      <w:pPr>
        <w:tabs>
          <w:tab w:val="left" w:pos="426"/>
          <w:tab w:val="left" w:pos="993"/>
        </w:tabs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У</w:t>
      </w:r>
      <w:r>
        <w:rPr>
          <w:rFonts w:ascii="Times New Roman" w:hAnsi="Times New Roman" w:eastAsia="Times New Roman" w:cs="Times New Roman"/>
          <w:sz w:val="24"/>
          <w:szCs w:val="24"/>
        </w:rPr>
        <w:t>вјерење о измиреним обавезама према граду Бања Лука (порез на непокретности, комуналне таксе и др.)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закључно са 31.12.2020. године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(</w:t>
      </w:r>
      <w:r>
        <w:rPr>
          <w:rFonts w:ascii="Times New Roman" w:hAnsi="Times New Roman" w:eastAsia="Times New Roman" w:cs="Times New Roman"/>
          <w:sz w:val="24"/>
          <w:szCs w:val="24"/>
        </w:rPr>
        <w:t>Одјељење за финансије Градске управе Бања Лука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),</w:t>
      </w:r>
    </w:p>
    <w:p>
      <w:pPr>
        <w:tabs>
          <w:tab w:val="left" w:pos="426"/>
          <w:tab w:val="left" w:pos="993"/>
        </w:tabs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Гаранција у облику изјаве власника или корисника пољопривредног земљишта, (Образац бр. 2 – доступан у Центру или на веб страници Центра и Града).</w:t>
      </w:r>
    </w:p>
    <w:p>
      <w:pPr>
        <w:tabs>
          <w:tab w:val="left" w:pos="426"/>
          <w:tab w:val="left" w:pos="993"/>
        </w:tabs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7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За потребе бодовања, породице са 4+ дјеце или породице социјално угроженог статуса као доказ достављају потврду из удружења породица 4+ и изводе из матичне књиге рођених за дјецу или увјерење од Центра за социјални рад.</w:t>
      </w:r>
    </w:p>
    <w:p>
      <w:pPr>
        <w:tabs>
          <w:tab w:val="left" w:pos="851"/>
          <w:tab w:val="left" w:pos="993"/>
        </w:tabs>
        <w:spacing w:after="0" w:line="240" w:lineRule="auto"/>
        <w:ind w:left="14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val="sr-Cyrl-CS"/>
        </w:rPr>
        <w:t>Потребна документација з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а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sr-Cyrl-BA"/>
        </w:rPr>
        <w:t xml:space="preserve">правна лица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: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bs-Cyrl-BA"/>
        </w:rPr>
        <w:t xml:space="preserve">Извод из Централног регистра предузетника или извод из Регистра пословних субјеката, </w:t>
      </w:r>
    </w:p>
    <w:p>
      <w:pPr>
        <w:tabs>
          <w:tab w:val="left" w:pos="426"/>
          <w:tab w:val="left" w:pos="993"/>
        </w:tabs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Доказ да се баве пољопривредном дјелатношћу -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 xml:space="preserve">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бавјештење о разврставању 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 xml:space="preserve">пословног субјекта по дјелатности </w:t>
      </w:r>
      <w:r>
        <w:rPr>
          <w:rFonts w:ascii="Times New Roman" w:hAnsi="Times New Roman" w:eastAsia="Times New Roman" w:cs="Times New Roman"/>
          <w:sz w:val="24"/>
          <w:szCs w:val="24"/>
        </w:rPr>
        <w:t>(АПИФ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),</w:t>
      </w:r>
    </w:p>
    <w:p>
      <w:pPr>
        <w:tabs>
          <w:tab w:val="left" w:pos="426"/>
          <w:tab w:val="left" w:pos="993"/>
        </w:tabs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Посједовни лист и копија катастарског плана (не старији од 6 мјесеци), за предметно земљиште  са назнаком парцеле која се жели уредити,</w:t>
      </w:r>
    </w:p>
    <w:p>
      <w:pPr>
        <w:tabs>
          <w:tab w:val="left" w:pos="426"/>
          <w:tab w:val="left" w:pos="993"/>
        </w:tabs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hanging="124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Уговор о закупу земљишта овјерен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од стране надлежних органа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, </w:t>
      </w:r>
    </w:p>
    <w:p>
      <w:pPr>
        <w:tabs>
          <w:tab w:val="left" w:pos="426"/>
          <w:tab w:val="left" w:pos="993"/>
        </w:tabs>
        <w:spacing w:after="0" w:line="240" w:lineRule="auto"/>
        <w:ind w:left="124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9"/>
        </w:numPr>
        <w:tabs>
          <w:tab w:val="left" w:pos="426"/>
          <w:tab w:val="left" w:pos="567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Фотокопија потврде о регистрацији газдинства код АПИФ-а (регистровани послије 01.11.2020. године), </w:t>
      </w:r>
    </w:p>
    <w:p>
      <w:pPr>
        <w:tabs>
          <w:tab w:val="left" w:pos="426"/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hanging="124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Фотокопија жиро рачуна,  </w:t>
      </w:r>
    </w:p>
    <w:p>
      <w:pPr>
        <w:tabs>
          <w:tab w:val="left" w:pos="426"/>
          <w:tab w:val="left" w:pos="993"/>
        </w:tabs>
        <w:spacing w:after="0" w:line="240" w:lineRule="auto"/>
        <w:ind w:left="124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У</w:t>
      </w:r>
      <w:r>
        <w:rPr>
          <w:rFonts w:ascii="Times New Roman" w:hAnsi="Times New Roman" w:eastAsia="Times New Roman" w:cs="Times New Roman"/>
          <w:sz w:val="24"/>
          <w:szCs w:val="24"/>
        </w:rPr>
        <w:t>вјерење о измиреним пореским обавезама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закључно са 31.12.2020. године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(</w:t>
      </w:r>
      <w:r>
        <w:rPr>
          <w:rFonts w:ascii="Times New Roman" w:hAnsi="Times New Roman" w:eastAsia="Times New Roman" w:cs="Times New Roman"/>
          <w:sz w:val="24"/>
          <w:szCs w:val="24"/>
        </w:rPr>
        <w:t>Пореска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управа РС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)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и </w:t>
      </w:r>
      <w:r>
        <w:rPr>
          <w:rFonts w:ascii="Times New Roman" w:hAnsi="Times New Roman" w:eastAsia="Times New Roman" w:cs="Times New Roman"/>
          <w:sz w:val="24"/>
          <w:szCs w:val="24"/>
        </w:rPr>
        <w:t>увјерење о измиреним обавезама ПДВ-а (Управа за индиректно опорезивање БиХ)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закључно са 31.12.2020. године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</w:t>
      </w:r>
    </w:p>
    <w:p>
      <w:pPr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>У</w:t>
      </w:r>
      <w:r>
        <w:rPr>
          <w:rFonts w:ascii="Times New Roman" w:hAnsi="Times New Roman" w:eastAsia="Times New Roman" w:cs="Times New Roman"/>
          <w:sz w:val="24"/>
          <w:szCs w:val="24"/>
        </w:rPr>
        <w:t>вјерење о измиреним обавезама према граду Бања Лука (порез на непокретности, комуналне таксе и др.)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закључно са 31.12.2020. године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(</w:t>
      </w:r>
      <w:r>
        <w:rPr>
          <w:rFonts w:ascii="Times New Roman" w:hAnsi="Times New Roman" w:eastAsia="Times New Roman" w:cs="Times New Roman"/>
          <w:sz w:val="24"/>
          <w:szCs w:val="24"/>
        </w:rPr>
        <w:t>Одјељење за финансије Градске управе Бања Лука</w:t>
      </w: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),</w:t>
      </w:r>
    </w:p>
    <w:p>
      <w:pPr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Гаранција у облику изјаве власника или корисника пољопривредног земљишта (Образац бр. 2 – доступан у Центру или на веб страници Центра и Града).</w:t>
      </w:r>
    </w:p>
    <w:p>
      <w:pPr>
        <w:spacing w:after="0" w:line="240" w:lineRule="auto"/>
        <w:ind w:left="720"/>
        <w:contextualSpacing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spacing w:after="0" w:line="240" w:lineRule="auto"/>
        <w:ind w:left="720"/>
        <w:contextualSpacing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tabs>
          <w:tab w:val="left" w:pos="284"/>
          <w:tab w:val="left" w:pos="567"/>
        </w:tabs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sr-Latn-CS"/>
        </w:rPr>
        <w:t xml:space="preserve">       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Комисија задржава право тражења додатне документације, у циљу доказивања испуњености услова за остваривање права на новчана средства.</w:t>
      </w:r>
    </w:p>
    <w:p>
      <w:pPr>
        <w:tabs>
          <w:tab w:val="left" w:pos="284"/>
          <w:tab w:val="left" w:pos="567"/>
        </w:tabs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tabs>
          <w:tab w:val="left" w:pos="284"/>
          <w:tab w:val="left" w:pos="567"/>
        </w:tabs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tabs>
          <w:tab w:val="left" w:pos="284"/>
          <w:tab w:val="left" w:pos="567"/>
        </w:tabs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  <w:t xml:space="preserve">V 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  <w:t>НАДЗОР И ИЗВЈЕШТАВАЊЕ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Члан 22. 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         Контролу и надзор у току провођења процеса, извршавање и реализацију одредби овог Програма, вршиће Центар за развој пољопривреде и села и Одјељење за привреду, а након имплементације средстава корисницима, контролу ће вршити Одјељење за инспекцијске послове и одјељење за финансије града Бања Лука.</w:t>
      </w:r>
    </w:p>
    <w:p>
      <w:pPr>
        <w:autoSpaceDE w:val="0"/>
        <w:autoSpaceDN w:val="0"/>
        <w:adjustRightInd w:val="0"/>
        <w:spacing w:after="0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autoSpaceDE w:val="0"/>
        <w:autoSpaceDN w:val="0"/>
        <w:adjustRightInd w:val="0"/>
        <w:spacing w:after="0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Члан 23.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highlight w:val="cyan"/>
          <w:lang w:val="ru-RU"/>
        </w:rPr>
      </w:pP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 xml:space="preserve">         Корисници средстава су дужни да у року од 90 дана Центру за развој пољопривреде и села, доставе извјештај о проведеним мјерама на предметном земљишту за одобрени пројекат, </w:t>
      </w: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на за то прописаном обрасцу (Образац бр. 3), који ће бити саставни дио уговора. 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Уколико корисник средстава не достави у року извјештај из претходног става, Центар ће обавјестити корисника да исти достави у року од седам дана у складу са преузетим уговорним обавезама. 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val="sr-Latn-CS"/>
        </w:rPr>
      </w:pP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Уколико корисник средстава извјештај не достави у датом року, Центар ће обавијестити корисника да се његове апликације на јавне позиве Центра неће разматрати у наредних пет година. 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</w:pP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Члан 24.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У случају ненамјенског кориштења средстава корисник је дужан иста вратити уз наплату важеће банкарске камате, што ће бити регулисано уговором закљученим између Центра и корисника средстава. 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Члан 25. </w:t>
      </w:r>
    </w:p>
    <w:p>
      <w:pPr>
        <w:shd w:val="clear" w:color="auto" w:fill="FFFFFF"/>
        <w:spacing w:before="240" w:after="24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sr-Cyrl-BA"/>
        </w:rPr>
        <w:t xml:space="preserve">            Центар је дужан да у трећем кварталу наредне године достави Одјељењу за привреду и Скупштини Града, извјештај о реализацији утрошених средстава.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sr-Latn-CS"/>
        </w:rPr>
        <w:t xml:space="preserve">VI </w:t>
      </w:r>
      <w:r>
        <w:rPr>
          <w:rFonts w:ascii="Times New Roman" w:hAnsi="Times New Roman" w:eastAsia="Times New Roman" w:cs="Times New Roman"/>
          <w:b/>
          <w:sz w:val="24"/>
          <w:szCs w:val="24"/>
          <w:lang w:val="sr-Cyrl-BA"/>
        </w:rPr>
        <w:t>ЗАВРШНЕ ОДРЕДБЕ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26.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Latn-BA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            Ступањем на снагу овог Правилника, престаје да важи Правилник </w:t>
      </w:r>
      <w:r>
        <w:rPr>
          <w:rFonts w:ascii="Times New Roman" w:hAnsi="Times New Roman" w:eastAsia="Calibri" w:cs="Times New Roman"/>
          <w:sz w:val="24"/>
          <w:szCs w:val="24"/>
          <w:lang w:val="sr-Latn-CS" w:eastAsia="sr-Latn-CS"/>
        </w:rPr>
        <w:t xml:space="preserve">о </w:t>
      </w:r>
      <w:r>
        <w:rPr>
          <w:rFonts w:ascii="Times New Roman" w:hAnsi="Times New Roman" w:eastAsia="Calibri" w:cs="Times New Roman"/>
          <w:sz w:val="24"/>
          <w:szCs w:val="24"/>
          <w:lang w:val="sr-Cyrl-CS" w:eastAsia="sr-Latn-CS"/>
        </w:rPr>
        <w:t xml:space="preserve">расподјели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средстава прикупљених од накнаде за претварање пољопривредног земљишта у непољоприврдне сврхе број: 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</w:rPr>
        <w:t>У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val="sr-Cyrl-CS"/>
        </w:rPr>
        <w:t>О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val="sr-Cyrl-BA"/>
        </w:rPr>
        <w:t>1202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</w:rPr>
        <w:t>/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val="sr-Cyrl-BA"/>
        </w:rPr>
        <w:t>20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, који је донио</w:t>
      </w:r>
      <w:r>
        <w:rPr>
          <w:rFonts w:ascii="Times New Roman" w:hAnsi="Times New Roman" w:eastAsia="Calibri" w:cs="Times New Roman"/>
          <w:sz w:val="24"/>
          <w:szCs w:val="24"/>
          <w:lang w:val="sr-Cyrl-RS" w:eastAsia="sr-Latn-CS"/>
        </w:rPr>
        <w:t xml:space="preserve"> Управни одбор Центра, а на који је градоначелник дао сагласност Закључком број: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12-Г-239</w:t>
      </w:r>
      <w:r>
        <w:rPr>
          <w:rFonts w:ascii="Times New Roman" w:hAnsi="Times New Roman" w:eastAsia="Times New Roman" w:cs="Times New Roman"/>
          <w:sz w:val="24"/>
          <w:szCs w:val="24"/>
          <w:lang w:val="sr-Latn-BA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/20, од 15.07.2020. године.</w:t>
      </w:r>
    </w:p>
    <w:p>
      <w:pPr>
        <w:spacing w:after="0" w:line="240" w:lineRule="auto"/>
        <w:ind w:firstLine="567"/>
        <w:jc w:val="right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ind w:firstLine="567"/>
        <w:jc w:val="right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Члан 27.</w:t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sr-Cyrl-CS" w:eastAsia="sr-Latn-CS"/>
        </w:rPr>
      </w:pPr>
    </w:p>
    <w:p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CS"/>
        </w:rPr>
        <w:t xml:space="preserve">Овај Правилник усваја Управни одбор Центра, а ступа на снагу даном давања сагласности од стране градоначелника града Бања Лука. </w:t>
      </w:r>
    </w:p>
    <w:p>
      <w:pPr>
        <w:spacing w:after="0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p>
      <w:pPr>
        <w:spacing w:after="0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val="sr-Cyrl-CS"/>
        </w:rPr>
      </w:pPr>
    </w:p>
    <w:tbl>
      <w:tblPr>
        <w:tblStyle w:val="5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  <w:gridCol w:w="3870"/>
        <w:gridCol w:w="342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CS"/>
              </w:rPr>
              <w:t xml:space="preserve">Број:  </w:t>
            </w:r>
          </w:p>
        </w:tc>
        <w:tc>
          <w:tcPr>
            <w:tcW w:w="1620" w:type="dxa"/>
            <w:tcBorders>
              <w:left w:val="nil"/>
              <w:bottom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1554 / 21</w:t>
            </w:r>
          </w:p>
        </w:tc>
        <w:tc>
          <w:tcPr>
            <w:tcW w:w="3870" w:type="dxa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429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CS"/>
              </w:rPr>
              <w:t>Предсједник УО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CS"/>
              </w:rPr>
              <w:t xml:space="preserve">Дана: 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08.11.2021.</w:t>
            </w:r>
          </w:p>
        </w:tc>
        <w:tc>
          <w:tcPr>
            <w:tcW w:w="3870" w:type="dxa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429" w:type="dxa"/>
            <w:vMerge w:val="restart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Тамамовић Милка, дипл. екон.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2448" w:type="dxa"/>
            <w:gridSpan w:val="2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870" w:type="dxa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429" w:type="dxa"/>
            <w:vMerge w:val="continue"/>
            <w:tcBorders>
              <w:bottom w:val="single" w:color="auto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Latn-CS"/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На Правилник о расподјели средстава прикупљених од накнаде за претварање пољопривредног земљишта у непољопривредне сврхе, градоначелник </w:t>
      </w: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>г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рада Бања Лука, даје сагласност Закључком број:_____________________, од ________2021. године.          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sectPr>
      <w:footerReference r:id="rId3" w:type="default"/>
      <w:pgSz w:w="12240" w:h="15840"/>
      <w:pgMar w:top="1170" w:right="1361" w:bottom="720" w:left="136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07589"/>
      <w:docPartObj>
        <w:docPartGallery w:val="AutoText"/>
      </w:docPartObj>
    </w:sdtPr>
    <w:sdtContent>
      <w:p>
        <w:pPr>
          <w:pStyle w:val="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>
    <w:pPr>
      <w:pStyle w:val="3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3A5C"/>
    <w:multiLevelType w:val="multilevel"/>
    <w:tmpl w:val="02A23A5C"/>
    <w:lvl w:ilvl="0" w:tentative="0">
      <w:start w:val="1"/>
      <w:numFmt w:val="decimal"/>
      <w:lvlText w:val="%1."/>
      <w:lvlJc w:val="left"/>
      <w:pPr>
        <w:ind w:left="1249" w:hanging="360"/>
      </w:pPr>
    </w:lvl>
    <w:lvl w:ilvl="1" w:tentative="0">
      <w:start w:val="1"/>
      <w:numFmt w:val="lowerLetter"/>
      <w:lvlText w:val="%2."/>
      <w:lvlJc w:val="left"/>
      <w:pPr>
        <w:ind w:left="2059" w:hanging="360"/>
      </w:pPr>
    </w:lvl>
    <w:lvl w:ilvl="2" w:tentative="0">
      <w:start w:val="1"/>
      <w:numFmt w:val="lowerRoman"/>
      <w:lvlText w:val="%3."/>
      <w:lvlJc w:val="right"/>
      <w:pPr>
        <w:ind w:left="2779" w:hanging="180"/>
      </w:pPr>
    </w:lvl>
    <w:lvl w:ilvl="3" w:tentative="0">
      <w:start w:val="1"/>
      <w:numFmt w:val="decimal"/>
      <w:lvlText w:val="%4."/>
      <w:lvlJc w:val="left"/>
      <w:pPr>
        <w:ind w:left="3499" w:hanging="360"/>
      </w:pPr>
    </w:lvl>
    <w:lvl w:ilvl="4" w:tentative="0">
      <w:start w:val="1"/>
      <w:numFmt w:val="lowerLetter"/>
      <w:lvlText w:val="%5."/>
      <w:lvlJc w:val="left"/>
      <w:pPr>
        <w:ind w:left="4219" w:hanging="360"/>
      </w:pPr>
    </w:lvl>
    <w:lvl w:ilvl="5" w:tentative="0">
      <w:start w:val="1"/>
      <w:numFmt w:val="lowerRoman"/>
      <w:lvlText w:val="%6."/>
      <w:lvlJc w:val="right"/>
      <w:pPr>
        <w:ind w:left="4939" w:hanging="180"/>
      </w:pPr>
    </w:lvl>
    <w:lvl w:ilvl="6" w:tentative="0">
      <w:start w:val="1"/>
      <w:numFmt w:val="decimal"/>
      <w:lvlText w:val="%7."/>
      <w:lvlJc w:val="left"/>
      <w:pPr>
        <w:ind w:left="5659" w:hanging="360"/>
      </w:pPr>
    </w:lvl>
    <w:lvl w:ilvl="7" w:tentative="0">
      <w:start w:val="1"/>
      <w:numFmt w:val="lowerLetter"/>
      <w:lvlText w:val="%8."/>
      <w:lvlJc w:val="left"/>
      <w:pPr>
        <w:ind w:left="6379" w:hanging="360"/>
      </w:pPr>
    </w:lvl>
    <w:lvl w:ilvl="8" w:tentative="0">
      <w:start w:val="1"/>
      <w:numFmt w:val="lowerRoman"/>
      <w:lvlText w:val="%9."/>
      <w:lvlJc w:val="right"/>
      <w:pPr>
        <w:ind w:left="7099" w:hanging="180"/>
      </w:pPr>
    </w:lvl>
  </w:abstractNum>
  <w:abstractNum w:abstractNumId="1">
    <w:nsid w:val="18A51D46"/>
    <w:multiLevelType w:val="multilevel"/>
    <w:tmpl w:val="18A51D46"/>
    <w:lvl w:ilvl="0" w:tentative="0">
      <w:start w:val="1"/>
      <w:numFmt w:val="decimal"/>
      <w:lvlText w:val="%1."/>
      <w:lvlJc w:val="center"/>
      <w:pPr>
        <w:ind w:left="128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007" w:hanging="360"/>
      </w:pPr>
    </w:lvl>
    <w:lvl w:ilvl="2" w:tentative="0">
      <w:start w:val="1"/>
      <w:numFmt w:val="lowerRoman"/>
      <w:lvlText w:val="%3."/>
      <w:lvlJc w:val="right"/>
      <w:pPr>
        <w:ind w:left="2727" w:hanging="180"/>
      </w:pPr>
    </w:lvl>
    <w:lvl w:ilvl="3" w:tentative="0">
      <w:start w:val="1"/>
      <w:numFmt w:val="decimal"/>
      <w:lvlText w:val="%4."/>
      <w:lvlJc w:val="left"/>
      <w:pPr>
        <w:ind w:left="3447" w:hanging="360"/>
      </w:pPr>
    </w:lvl>
    <w:lvl w:ilvl="4" w:tentative="0">
      <w:start w:val="1"/>
      <w:numFmt w:val="lowerLetter"/>
      <w:lvlText w:val="%5."/>
      <w:lvlJc w:val="left"/>
      <w:pPr>
        <w:ind w:left="4167" w:hanging="360"/>
      </w:pPr>
    </w:lvl>
    <w:lvl w:ilvl="5" w:tentative="0">
      <w:start w:val="1"/>
      <w:numFmt w:val="lowerRoman"/>
      <w:lvlText w:val="%6."/>
      <w:lvlJc w:val="right"/>
      <w:pPr>
        <w:ind w:left="4887" w:hanging="180"/>
      </w:pPr>
    </w:lvl>
    <w:lvl w:ilvl="6" w:tentative="0">
      <w:start w:val="1"/>
      <w:numFmt w:val="decimal"/>
      <w:lvlText w:val="%7."/>
      <w:lvlJc w:val="left"/>
      <w:pPr>
        <w:ind w:left="5607" w:hanging="360"/>
      </w:pPr>
    </w:lvl>
    <w:lvl w:ilvl="7" w:tentative="0">
      <w:start w:val="1"/>
      <w:numFmt w:val="lowerLetter"/>
      <w:lvlText w:val="%8."/>
      <w:lvlJc w:val="left"/>
      <w:pPr>
        <w:ind w:left="6327" w:hanging="360"/>
      </w:pPr>
    </w:lvl>
    <w:lvl w:ilvl="8" w:tentative="0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7B97648"/>
    <w:multiLevelType w:val="multilevel"/>
    <w:tmpl w:val="37B97648"/>
    <w:lvl w:ilvl="0" w:tentative="0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DC90B21"/>
    <w:multiLevelType w:val="multilevel"/>
    <w:tmpl w:val="3DC90B21"/>
    <w:lvl w:ilvl="0" w:tentative="0">
      <w:start w:val="1"/>
      <w:numFmt w:val="bullet"/>
      <w:lvlText w:val="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nsid w:val="4D9C1931"/>
    <w:multiLevelType w:val="multilevel"/>
    <w:tmpl w:val="4D9C1931"/>
    <w:lvl w:ilvl="0" w:tentative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0119D2"/>
    <w:multiLevelType w:val="multilevel"/>
    <w:tmpl w:val="5A0119D2"/>
    <w:lvl w:ilvl="0" w:tentative="0">
      <w:start w:val="1"/>
      <w:numFmt w:val="decimal"/>
      <w:lvlText w:val="%1."/>
      <w:lvlJc w:val="left"/>
      <w:pPr>
        <w:ind w:left="1467" w:hanging="360"/>
      </w:pPr>
    </w:lvl>
    <w:lvl w:ilvl="1" w:tentative="0">
      <w:start w:val="1"/>
      <w:numFmt w:val="lowerLetter"/>
      <w:lvlText w:val="%2."/>
      <w:lvlJc w:val="left"/>
      <w:pPr>
        <w:ind w:left="2277" w:hanging="360"/>
      </w:pPr>
    </w:lvl>
    <w:lvl w:ilvl="2" w:tentative="0">
      <w:start w:val="1"/>
      <w:numFmt w:val="lowerRoman"/>
      <w:lvlText w:val="%3."/>
      <w:lvlJc w:val="right"/>
      <w:pPr>
        <w:ind w:left="2997" w:hanging="180"/>
      </w:pPr>
    </w:lvl>
    <w:lvl w:ilvl="3" w:tentative="0">
      <w:start w:val="1"/>
      <w:numFmt w:val="decimal"/>
      <w:lvlText w:val="%4."/>
      <w:lvlJc w:val="left"/>
      <w:pPr>
        <w:ind w:left="3717" w:hanging="360"/>
      </w:pPr>
    </w:lvl>
    <w:lvl w:ilvl="4" w:tentative="0">
      <w:start w:val="1"/>
      <w:numFmt w:val="lowerLetter"/>
      <w:lvlText w:val="%5."/>
      <w:lvlJc w:val="left"/>
      <w:pPr>
        <w:ind w:left="4437" w:hanging="360"/>
      </w:pPr>
    </w:lvl>
    <w:lvl w:ilvl="5" w:tentative="0">
      <w:start w:val="1"/>
      <w:numFmt w:val="lowerRoman"/>
      <w:lvlText w:val="%6."/>
      <w:lvlJc w:val="right"/>
      <w:pPr>
        <w:ind w:left="5157" w:hanging="180"/>
      </w:pPr>
    </w:lvl>
    <w:lvl w:ilvl="6" w:tentative="0">
      <w:start w:val="1"/>
      <w:numFmt w:val="decimal"/>
      <w:lvlText w:val="%7."/>
      <w:lvlJc w:val="left"/>
      <w:pPr>
        <w:ind w:left="5877" w:hanging="360"/>
      </w:pPr>
    </w:lvl>
    <w:lvl w:ilvl="7" w:tentative="0">
      <w:start w:val="1"/>
      <w:numFmt w:val="lowerLetter"/>
      <w:lvlText w:val="%8."/>
      <w:lvlJc w:val="left"/>
      <w:pPr>
        <w:ind w:left="6597" w:hanging="360"/>
      </w:pPr>
    </w:lvl>
    <w:lvl w:ilvl="8" w:tentative="0">
      <w:start w:val="1"/>
      <w:numFmt w:val="lowerRoman"/>
      <w:lvlText w:val="%9."/>
      <w:lvlJc w:val="right"/>
      <w:pPr>
        <w:ind w:left="7317" w:hanging="180"/>
      </w:pPr>
    </w:lvl>
  </w:abstractNum>
  <w:abstractNum w:abstractNumId="6">
    <w:nsid w:val="684905EC"/>
    <w:multiLevelType w:val="multilevel"/>
    <w:tmpl w:val="684905E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73A95A0C"/>
    <w:multiLevelType w:val="multilevel"/>
    <w:tmpl w:val="73A95A0C"/>
    <w:lvl w:ilvl="0" w:tentative="0">
      <w:start w:val="1"/>
      <w:numFmt w:val="bullet"/>
      <w:lvlText w:val="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8">
    <w:nsid w:val="7CDC5E7A"/>
    <w:multiLevelType w:val="multilevel"/>
    <w:tmpl w:val="7CDC5E7A"/>
    <w:lvl w:ilvl="0" w:tentative="0">
      <w:start w:val="1"/>
      <w:numFmt w:val="bullet"/>
      <w:lvlText w:val="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9E4"/>
    <w:rsid w:val="00054599"/>
    <w:rsid w:val="000702DA"/>
    <w:rsid w:val="00077BED"/>
    <w:rsid w:val="000E2605"/>
    <w:rsid w:val="000F6BEF"/>
    <w:rsid w:val="001105CC"/>
    <w:rsid w:val="001249B0"/>
    <w:rsid w:val="0015429B"/>
    <w:rsid w:val="00177A98"/>
    <w:rsid w:val="001C09E0"/>
    <w:rsid w:val="001F5735"/>
    <w:rsid w:val="00210A70"/>
    <w:rsid w:val="0023073F"/>
    <w:rsid w:val="0027246B"/>
    <w:rsid w:val="0029602C"/>
    <w:rsid w:val="002A2ADC"/>
    <w:rsid w:val="002B7C6F"/>
    <w:rsid w:val="0030084A"/>
    <w:rsid w:val="00334F0B"/>
    <w:rsid w:val="00355C36"/>
    <w:rsid w:val="003610B5"/>
    <w:rsid w:val="00390DDA"/>
    <w:rsid w:val="003A6ACD"/>
    <w:rsid w:val="003F7956"/>
    <w:rsid w:val="0042284C"/>
    <w:rsid w:val="00441FD7"/>
    <w:rsid w:val="00463F3E"/>
    <w:rsid w:val="004C7AAC"/>
    <w:rsid w:val="004D5BB6"/>
    <w:rsid w:val="004F4886"/>
    <w:rsid w:val="005031D8"/>
    <w:rsid w:val="00503C8B"/>
    <w:rsid w:val="005159E4"/>
    <w:rsid w:val="005266B0"/>
    <w:rsid w:val="00551A90"/>
    <w:rsid w:val="005654FB"/>
    <w:rsid w:val="00585D0F"/>
    <w:rsid w:val="00591532"/>
    <w:rsid w:val="005951A5"/>
    <w:rsid w:val="005A32D2"/>
    <w:rsid w:val="005F5B02"/>
    <w:rsid w:val="0061688A"/>
    <w:rsid w:val="006843DF"/>
    <w:rsid w:val="00686926"/>
    <w:rsid w:val="006A531E"/>
    <w:rsid w:val="006B1A6F"/>
    <w:rsid w:val="006C0D12"/>
    <w:rsid w:val="00742CC8"/>
    <w:rsid w:val="007454F9"/>
    <w:rsid w:val="00767357"/>
    <w:rsid w:val="00770CCB"/>
    <w:rsid w:val="007A5D87"/>
    <w:rsid w:val="007B17CB"/>
    <w:rsid w:val="007E641A"/>
    <w:rsid w:val="00837589"/>
    <w:rsid w:val="00855002"/>
    <w:rsid w:val="008C19E4"/>
    <w:rsid w:val="008E03C8"/>
    <w:rsid w:val="00904485"/>
    <w:rsid w:val="009346D9"/>
    <w:rsid w:val="00982162"/>
    <w:rsid w:val="009D43C7"/>
    <w:rsid w:val="00A1250B"/>
    <w:rsid w:val="00A2601C"/>
    <w:rsid w:val="00A3076F"/>
    <w:rsid w:val="00AF26DE"/>
    <w:rsid w:val="00B10235"/>
    <w:rsid w:val="00B729A4"/>
    <w:rsid w:val="00B93554"/>
    <w:rsid w:val="00BA6035"/>
    <w:rsid w:val="00BC3224"/>
    <w:rsid w:val="00BE2537"/>
    <w:rsid w:val="00BE2AA5"/>
    <w:rsid w:val="00C41172"/>
    <w:rsid w:val="00C4593B"/>
    <w:rsid w:val="00C50861"/>
    <w:rsid w:val="00C96E94"/>
    <w:rsid w:val="00D03EE8"/>
    <w:rsid w:val="00D07CDD"/>
    <w:rsid w:val="00D23022"/>
    <w:rsid w:val="00D6185C"/>
    <w:rsid w:val="00DA3D53"/>
    <w:rsid w:val="00DA6EBE"/>
    <w:rsid w:val="00DE7C74"/>
    <w:rsid w:val="00E126AD"/>
    <w:rsid w:val="00E746E4"/>
    <w:rsid w:val="00E80F21"/>
    <w:rsid w:val="00E8686C"/>
    <w:rsid w:val="00E97CC6"/>
    <w:rsid w:val="00EB2D6E"/>
    <w:rsid w:val="00F644F7"/>
    <w:rsid w:val="00FF4DC6"/>
    <w:rsid w:val="6AD8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7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5"/>
    <w:uiPriority w:val="59"/>
    <w:pPr>
      <w:spacing w:after="0" w:line="240" w:lineRule="auto"/>
    </w:pPr>
    <w:rPr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oter Char"/>
    <w:basedOn w:val="4"/>
    <w:link w:val="3"/>
    <w:semiHidden/>
    <w:uiPriority w:val="99"/>
  </w:style>
  <w:style w:type="character" w:customStyle="1" w:styleId="8">
    <w:name w:val="Balloon Text Char"/>
    <w:basedOn w:val="4"/>
    <w:link w:val="2"/>
    <w:semiHidden/>
    <w:uiPriority w:val="99"/>
    <w:rPr>
      <w:rFonts w:ascii="Tahoma" w:hAnsi="Tahoma" w:cs="Tahoma"/>
      <w:sz w:val="16"/>
      <w:szCs w:val="16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microsoft.com/office/2007/relationships/hdphoto" Target="media/image2.wdp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2985</Words>
  <Characters>17016</Characters>
  <Lines>141</Lines>
  <Paragraphs>39</Paragraphs>
  <TotalTime>1300</TotalTime>
  <ScaleCrop>false</ScaleCrop>
  <LinksUpToDate>false</LinksUpToDate>
  <CharactersWithSpaces>19962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2020-06-22T11:01:00Z</dcterms:created>
  <dc:creator>Korisnik</dc:creator>
  <cp:lastModifiedBy>Korisnik</cp:lastModifiedBy>
  <cp:lastPrinted>2021-11-08T14:10:00Z</cp:lastPrinted>
  <dcterms:modified xsi:type="dcterms:W3CDTF">2021-12-01T12:26:01Z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