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91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3780"/>
        <w:gridCol w:w="40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350" w:type="dxa"/>
            <w:vMerge w:val="restart"/>
          </w:tcPr>
          <w:p>
            <w:bookmarkStart w:id="0" w:name="_GoBack"/>
            <w:bookmarkEnd w:id="0"/>
            <w:r>
              <w:rPr>
                <w:b/>
              </w:rPr>
              <w:drawing>
                <wp:inline distT="0" distB="0" distL="114300" distR="114300">
                  <wp:extent cx="668020" cy="826770"/>
                  <wp:effectExtent l="0" t="0" r="17780" b="1143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</w:tcPr>
          <w:p>
            <w:pPr>
              <w:pStyle w:val="11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>
            <w:pPr>
              <w:pStyle w:val="11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>
            <w:pPr>
              <w:pStyle w:val="11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350" w:type="dxa"/>
            <w:vMerge w:val="continue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</w:tcPr>
          <w:p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    тел: 051/433</w:t>
      </w:r>
      <w:r>
        <w:rPr>
          <w:rFonts w:ascii="Arial" w:hAnsi="Arial" w:cs="Arial"/>
          <w:i/>
          <w:sz w:val="20"/>
          <w:szCs w:val="20"/>
          <w:lang w:val="sr-Latn-CS"/>
        </w:rPr>
        <w:t>-620</w:t>
      </w:r>
    </w:p>
    <w:p>
      <w:pPr>
        <w:rPr>
          <w:lang w:val="sr-Cyrl-CS"/>
        </w:rPr>
      </w:pPr>
    </w:p>
    <w:p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>
        <w:rPr>
          <w:lang w:val="sr-Cyrl-CS"/>
        </w:rPr>
        <w:t xml:space="preserve">став 1.тачка б) , члана 70.Закона о јавним набавкама  Босне и Херцеговине („Службени гласник  БиХ“ бр.39/14) и члана 33. Статута Центра за развој пољопривреде и  села, а на основу препоруке комисије   </w:t>
      </w:r>
      <w:r>
        <w:rPr>
          <w:color w:val="000000" w:themeColor="text1"/>
          <w:lang w:val="sr-Cyrl-CS"/>
        </w:rPr>
        <w:t>број</w:t>
      </w:r>
      <w:r>
        <w:rPr>
          <w:lang w:val="sr-Cyrl-CS"/>
        </w:rPr>
        <w:t>:</w:t>
      </w:r>
      <w:r>
        <w:t>1215</w:t>
      </w:r>
      <w:r>
        <w:rPr>
          <w:lang w:val="sr-Cyrl-CS"/>
        </w:rPr>
        <w:t>-1/19 од</w:t>
      </w:r>
      <w:r>
        <w:rPr>
          <w:color w:val="000000" w:themeColor="text1"/>
          <w:lang w:val="sr-Cyrl-CS"/>
        </w:rPr>
        <w:t xml:space="preserve"> </w:t>
      </w:r>
      <w:r>
        <w:t>21</w:t>
      </w:r>
      <w:r>
        <w:rPr>
          <w:lang w:val="sr-Cyrl-CS"/>
        </w:rPr>
        <w:t>.08.2019.године</w:t>
      </w:r>
      <w:r>
        <w:rPr>
          <w:color w:val="000000" w:themeColor="text1"/>
          <w:lang w:val="sr-Cyrl-CS"/>
        </w:rPr>
        <w:t>,</w:t>
      </w:r>
      <w:r>
        <w:rPr>
          <w:lang w:val="sr-Cyrl-CS"/>
        </w:rPr>
        <w:t xml:space="preserve"> за провођење  поступка  за избор најповољнијег  понуђача</w:t>
      </w:r>
      <w:r>
        <w:t xml:space="preserve"> </w:t>
      </w:r>
      <w:r>
        <w:rPr>
          <w:lang w:val="sr-Cyrl-CS"/>
        </w:rPr>
        <w:t xml:space="preserve">за извођење радова „Изградња ладаре и терасе ресторана на Развојно едукативном центру „Мањача“ Директор Центра  </w:t>
      </w:r>
      <w:r>
        <w:rPr>
          <w:b/>
          <w:lang w:val="sr-Cyrl-CS"/>
        </w:rPr>
        <w:t xml:space="preserve">д о н о с и, </w:t>
      </w:r>
      <w:r>
        <w:t>сљедећу</w:t>
      </w:r>
    </w:p>
    <w:p>
      <w:pPr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Д Л У К У</w:t>
      </w:r>
    </w:p>
    <w:p>
      <w:pPr>
        <w:jc w:val="center"/>
        <w:rPr>
          <w:lang w:val="sr-Cyrl-CS"/>
        </w:rPr>
      </w:pPr>
      <w:r>
        <w:rPr>
          <w:b/>
          <w:lang w:val="sr-Cyrl-CS"/>
        </w:rPr>
        <w:t>о избору најповољнијег понуђача</w:t>
      </w:r>
    </w:p>
    <w:p>
      <w:pPr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1.</w:t>
      </w:r>
      <w:r>
        <w:t>Прихвата се приједлог</w:t>
      </w:r>
      <w:r>
        <w:rPr>
          <w:lang w:val="sr-Cyrl-CS"/>
        </w:rPr>
        <w:t>-препорука</w:t>
      </w:r>
      <w:r>
        <w:t xml:space="preserve">  Комисије</w:t>
      </w:r>
      <w:r>
        <w:rPr>
          <w:lang w:val="sr-Cyrl-CS"/>
        </w:rPr>
        <w:t xml:space="preserve"> број:</w:t>
      </w:r>
      <w:r>
        <w:t>1215</w:t>
      </w:r>
      <w:r>
        <w:rPr>
          <w:lang w:val="sr-Cyrl-CS"/>
        </w:rPr>
        <w:t xml:space="preserve">-1/19 од  </w:t>
      </w:r>
      <w:r>
        <w:t>21</w:t>
      </w:r>
      <w:r>
        <w:rPr>
          <w:lang w:val="sr-Cyrl-CS"/>
        </w:rPr>
        <w:t>.08.2019.године, за извођење радова „Изградња ладаре и терасе ресторана на Развојно едукативном центру „Мањача“  по конкурентском позиву број: 1139/19 од 01.08.2019.године, објављеном на Порталу јавних набавки, обавјештење о набавци број: 256-7-3-41-3-18/19 од 01.08.2019.године.</w:t>
      </w:r>
    </w:p>
    <w:p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>
      <w:pPr>
        <w:jc w:val="both"/>
        <w:rPr>
          <w:lang w:val="sr-Cyrl-CS"/>
        </w:rPr>
      </w:pPr>
      <w:r>
        <w:t>2</w:t>
      </w:r>
      <w:r>
        <w:rPr>
          <w:lang w:val="sr-Cyrl-CS"/>
        </w:rPr>
        <w:t xml:space="preserve">. </w:t>
      </w:r>
      <w:r>
        <w:rPr>
          <w:b/>
          <w:lang w:val="sr-Cyrl-CS"/>
        </w:rPr>
        <w:t xml:space="preserve"> </w:t>
      </w:r>
      <w:r>
        <w:rPr>
          <w:lang w:val="sr-Cyrl-CS"/>
        </w:rPr>
        <w:t>Уговор се додјељује понуђачу</w:t>
      </w:r>
      <w:r>
        <w:rPr>
          <w:b/>
          <w:lang w:val="sr-Cyrl-CS"/>
        </w:rPr>
        <w:t xml:space="preserve"> „</w:t>
      </w:r>
      <w:r>
        <w:rPr>
          <w:b/>
          <w:lang w:val="sr-Latn-CS"/>
        </w:rPr>
        <w:t>GRBIĆ GRADNJA</w:t>
      </w:r>
      <w:r>
        <w:rPr>
          <w:b/>
          <w:lang w:val="sr-Cyrl-CS"/>
        </w:rPr>
        <w:t xml:space="preserve">“  </w:t>
      </w:r>
      <w:r>
        <w:rPr>
          <w:b/>
          <w:lang w:val="sr-Latn-CS"/>
        </w:rPr>
        <w:t xml:space="preserve">Marko Grbić s.p. </w:t>
      </w:r>
      <w:r>
        <w:rPr>
          <w:b/>
          <w:lang w:val="sr-Cyrl-CS"/>
        </w:rPr>
        <w:t xml:space="preserve">Приједор, </w:t>
      </w:r>
      <w:r>
        <w:rPr>
          <w:lang w:val="sr-Cyrl-CS"/>
        </w:rPr>
        <w:t xml:space="preserve">понуда број: П-09/19 од 13.08.2019. године, за понуђену цијену  </w:t>
      </w:r>
      <w:r>
        <w:rPr>
          <w:b/>
          <w:lang w:val="sr-Cyrl-CS"/>
        </w:rPr>
        <w:t>од  54.950,00 КМ без ПДВ-а</w:t>
      </w:r>
      <w:r>
        <w:rPr>
          <w:lang w:val="sr-Cyrl-CS"/>
        </w:rPr>
        <w:t xml:space="preserve">   </w:t>
      </w:r>
      <w:r>
        <w:rPr>
          <w:b/>
          <w:lang w:val="sr-Cyrl-CS"/>
        </w:rPr>
        <w:t xml:space="preserve">односно  64.291,50 КМ са ПДВ-ом. </w:t>
      </w:r>
    </w:p>
    <w:p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>
      <w:pPr>
        <w:jc w:val="both"/>
        <w:rPr>
          <w:lang w:val="sr-Latn-CS"/>
        </w:rPr>
      </w:pPr>
      <w:r>
        <w:rPr>
          <w:lang w:val="sr-Cyrl-CS"/>
        </w:rPr>
        <w:t xml:space="preserve">3. Понуда понуђача из тачке 2. ове одлуке  је прихватљива по критеријуму  најниже цијене , у складу са чланом  64. тачка  1. под б) ЗЈН-а Б и Х.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5. Прије закључења уговора, понуђач из члана 2.ове одлуке дужан је,  у року од 5 (пет) дана од дана пријема обавјештења о избору (одлуке о избору), уговорном органу доставити документе којима доказује своју личну способност. </w:t>
      </w:r>
    </w:p>
    <w:p>
      <w:pPr>
        <w:jc w:val="both"/>
        <w:rPr>
          <w:color w:val="FF0000"/>
          <w:lang w:val="sr-Cyrl-CS"/>
        </w:rPr>
      </w:pPr>
      <w:r>
        <w:rPr>
          <w:lang w:val="sr-Cyrl-CS"/>
        </w:rPr>
        <w:t xml:space="preserve">Ови документи су наведени  у члану 45. став 2) тачка а)  до д)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>
      <w:pPr>
        <w:jc w:val="both"/>
        <w:rPr>
          <w:lang w:val="sr-Cyrl-CS"/>
        </w:rPr>
      </w:pPr>
      <w:r>
        <w:rPr>
          <w:color w:val="FF0000"/>
          <w:lang w:val="sr-Cyrl-CS"/>
        </w:rPr>
        <w:t xml:space="preserve"> </w:t>
      </w: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избору, у радном времену</w:t>
      </w:r>
      <w:r>
        <w:t xml:space="preserve"> </w:t>
      </w:r>
      <w:r>
        <w:rPr>
          <w:lang w:val="sr-Cyrl-CS"/>
        </w:rPr>
        <w:t>уговорног органа  (најкасније  до 15:00 часова) без обзира на који начин су послати.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6. Ова одлука објавиће се на веб-страници: </w:t>
      </w:r>
      <w:r>
        <w:fldChar w:fldCharType="begin"/>
      </w:r>
      <w:r>
        <w:instrText xml:space="preserve"> HYPERLINK "http://www.crusbl.org" </w:instrText>
      </w:r>
      <w:r>
        <w:fldChar w:fldCharType="separate"/>
      </w:r>
      <w:r>
        <w:rPr>
          <w:rStyle w:val="13"/>
          <w:b/>
          <w:lang w:val="sr-Latn-CS"/>
        </w:rPr>
        <w:t>www.crusbl.org</w:t>
      </w:r>
      <w:r>
        <w:rPr>
          <w:rStyle w:val="13"/>
          <w:b/>
          <w:lang w:val="sr-Latn-CS"/>
        </w:rPr>
        <w:fldChar w:fldCharType="end"/>
      </w:r>
      <w:r>
        <w:rPr>
          <w:u w:val="single"/>
          <w:lang w:val="sr-Latn-CS"/>
        </w:rPr>
        <w:t xml:space="preserve"> </w:t>
      </w:r>
      <w:r>
        <w:rPr>
          <w:lang w:val="sr-Cyrl-CS"/>
        </w:rPr>
        <w:t xml:space="preserve">истовремено са упућивањем понуђачима који су учествовали  у поступку јавне набавке, сходно члану 70.став (6) Закона о јавним набавкама.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7. Ова одлука се доставља свим понуђачима који су учествовали у поступку јавне набавке, у складу са чланом 71. став (2) Закона о јавним набавкама. </w:t>
      </w:r>
    </w:p>
    <w:p>
      <w:pPr>
        <w:pStyle w:val="3"/>
        <w:rPr>
          <w:b/>
        </w:rPr>
      </w:pPr>
      <w:r>
        <w:rPr>
          <w:b/>
        </w:rPr>
        <w:t>О б р а з л о ж е њ е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покренут је Одлуком о покретању поступка јавне набавке број: 1138/19-О  од  01.08.2019.године (на основу допуне плана јавних набавки за 2019. годиону број: 1111/19-О). Јавна набавка је проведена путем конкурентског захтјева за доставу понуда. 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Процијењена вриједност јавне набавке   без ПДВ-а   65.000,00  КМ. </w:t>
      </w:r>
    </w:p>
    <w:p>
      <w:pPr>
        <w:jc w:val="both"/>
        <w:rPr>
          <w:lang w:val="sr-Cyrl-CS"/>
        </w:rPr>
      </w:pPr>
      <w:r>
        <w:rPr>
          <w:lang w:val="sr-Cyrl-CS"/>
        </w:rPr>
        <w:t>Обавјештење о набавци број: 256-7-3-41-3-18/19  -објављено на Порталу јавних набавки дана  01.08.2019. године.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Комисија за јавну набвку, именована рјешењем број: 1139-2/19 од 01.08.2019. године. Уговорни орган је упутио позив за достављање понуда  у поступку конкурентског захтјева за набавку извођења радова</w:t>
      </w:r>
      <w:r>
        <w:rPr>
          <w:b/>
          <w:lang w:val="sr-Cyrl-CS"/>
        </w:rPr>
        <w:t xml:space="preserve">- </w:t>
      </w:r>
      <w:r>
        <w:rPr>
          <w:lang w:val="sr-Cyrl-CS"/>
        </w:rPr>
        <w:t>„Изградња ладаре и терасе ресторана на Развојно едукативном центру „Мањача“</w:t>
      </w:r>
      <w:r>
        <w:rPr>
          <w:b/>
          <w:lang w:val="sr-Cyrl-CS"/>
        </w:rPr>
        <w:t xml:space="preserve"> </w:t>
      </w:r>
      <w:r>
        <w:rPr>
          <w:bCs/>
          <w:lang w:val="sr-Cyrl-CS" w:eastAsia="bs-Latn-BA"/>
        </w:rPr>
        <w:t>,</w:t>
      </w:r>
      <w:r>
        <w:rPr>
          <w:lang w:val="sr-Cyrl-CS"/>
        </w:rPr>
        <w:t xml:space="preserve">(након  објаве обавијести на Портал јавних набавки) следећим  понуђачима : 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„</w:t>
      </w:r>
      <w:r>
        <w:rPr>
          <w:lang w:val="sr-Latn-CS"/>
        </w:rPr>
        <w:t xml:space="preserve">MGM TRADE“  </w:t>
      </w:r>
      <w:r>
        <w:rPr>
          <w:lang w:val="sr-Cyrl-CS"/>
        </w:rPr>
        <w:t>д.о.о Нови Град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„</w:t>
      </w:r>
      <w:r>
        <w:rPr>
          <w:lang w:val="sr-Latn-CS"/>
        </w:rPr>
        <w:t>Grbić Gradnja</w:t>
      </w:r>
      <w:r>
        <w:rPr>
          <w:lang w:val="sr-Cyrl-CS"/>
        </w:rPr>
        <w:t xml:space="preserve">“ </w:t>
      </w:r>
      <w:r>
        <w:rPr>
          <w:lang w:val="sr-Latn-CS"/>
        </w:rPr>
        <w:t xml:space="preserve">marko Grbić s.p. </w:t>
      </w:r>
      <w:r>
        <w:rPr>
          <w:lang w:val="sr-Cyrl-CS"/>
        </w:rPr>
        <w:t xml:space="preserve">Приједор </w:t>
      </w:r>
    </w:p>
    <w:p>
      <w:pPr>
        <w:pStyle w:val="17"/>
        <w:numPr>
          <w:ilvl w:val="0"/>
          <w:numId w:val="1"/>
        </w:numPr>
        <w:jc w:val="both"/>
      </w:pPr>
      <w:r>
        <w:rPr>
          <w:lang w:val="sr-Latn-CS"/>
        </w:rPr>
        <w:t>„Grbić Company</w:t>
      </w:r>
      <w:r>
        <w:rPr>
          <w:lang w:val="sr-Cyrl-CS"/>
        </w:rPr>
        <w:t>“  до.о.о.  Нови Град</w:t>
      </w:r>
    </w:p>
    <w:p>
      <w:pPr>
        <w:jc w:val="both"/>
        <w:rPr>
          <w:lang w:val="sr-Cyrl-CS"/>
        </w:rPr>
      </w:pPr>
      <w:r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  7 (седам)  понуђача.</w:t>
      </w:r>
    </w:p>
    <w:p>
      <w:pPr>
        <w:jc w:val="both"/>
        <w:rPr>
          <w:lang w:val="sr-Cyrl-CS"/>
        </w:rPr>
      </w:pPr>
      <w:r>
        <w:rPr>
          <w:lang w:val="sr-Cyrl-CS"/>
        </w:rPr>
        <w:t>Извјештај о преузимању тд од стране понуђача од  13.08.2019.год. у прилогу ТД.</w:t>
      </w:r>
    </w:p>
    <w:p>
      <w:pPr>
        <w:ind w:firstLine="720"/>
        <w:jc w:val="both"/>
        <w:rPr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достављање понуда пристигле су двије (2) понуде .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Неблаговремених понуда није било. </w:t>
      </w:r>
    </w:p>
    <w:p>
      <w:pPr>
        <w:ind w:firstLine="720"/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Дана 13.08.2019. године у 11:30 часова извршено је јавно отварање понуда о чему је сачињен  Записник са отварања понуда  број: 1197-1/19  од 13.08.2019.године  који је благовремено (у законском року)  достављен понуђачима који су доставили понуде  у предметном поступку набавке.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Комисија је констатовала да су пристигле понуде следећих понуђача и то по следећем редослиједу:</w:t>
      </w:r>
    </w:p>
    <w:p>
      <w:pPr>
        <w:jc w:val="both"/>
        <w:rPr>
          <w:lang w:val="sr-Cyrl-CS"/>
        </w:rPr>
      </w:pPr>
    </w:p>
    <w:p>
      <w:pPr>
        <w:pStyle w:val="17"/>
        <w:numPr>
          <w:ilvl w:val="0"/>
          <w:numId w:val="2"/>
        </w:numPr>
        <w:jc w:val="both"/>
        <w:rPr>
          <w:b/>
          <w:lang w:val="sr-Cyrl-CS"/>
        </w:rPr>
      </w:pPr>
      <w:r>
        <w:rPr>
          <w:lang w:val="sr-Latn-CS"/>
        </w:rPr>
        <w:t xml:space="preserve">„PRIMAPROM“ </w:t>
      </w:r>
      <w:r>
        <w:rPr>
          <w:lang w:val="sr-Cyrl-CS"/>
        </w:rPr>
        <w:t xml:space="preserve">д.о.о. Бања Лука, укупна вриједност понуде </w:t>
      </w:r>
      <w:r>
        <w:rPr>
          <w:b/>
          <w:lang w:val="sr-Cyrl-CS"/>
        </w:rPr>
        <w:t xml:space="preserve">64.800,02 </w:t>
      </w:r>
    </w:p>
    <w:p>
      <w:pPr>
        <w:jc w:val="both"/>
        <w:rPr>
          <w:b/>
          <w:lang w:val="sr-Cyrl-CS"/>
        </w:rPr>
      </w:pPr>
      <w:r>
        <w:rPr>
          <w:b/>
          <w:lang w:val="sr-Cyrl-CS"/>
        </w:rPr>
        <w:t>К</w:t>
      </w:r>
      <w:r>
        <w:rPr>
          <w:b/>
          <w:lang w:val="sr-Latn-CS"/>
        </w:rPr>
        <w:t>M</w:t>
      </w:r>
      <w:r>
        <w:rPr>
          <w:b/>
          <w:lang w:val="sr-Cyrl-CS"/>
        </w:rPr>
        <w:t xml:space="preserve"> </w:t>
      </w:r>
      <w:r>
        <w:rPr>
          <w:lang w:val="sr-Cyrl-CS"/>
        </w:rPr>
        <w:t xml:space="preserve">без ПДВ-а,односно укупна вриједност понуде </w:t>
      </w:r>
      <w:r>
        <w:rPr>
          <w:b/>
          <w:lang w:val="sr-Cyrl-CS"/>
        </w:rPr>
        <w:t>75.816,02 КМ са ПДВ-ом.</w:t>
      </w:r>
    </w:p>
    <w:p>
      <w:pPr>
        <w:rPr>
          <w:b/>
          <w:lang w:val="sr-Cyrl-CS"/>
        </w:rPr>
      </w:pPr>
    </w:p>
    <w:p>
      <w:pPr>
        <w:pStyle w:val="17"/>
        <w:numPr>
          <w:ilvl w:val="0"/>
          <w:numId w:val="2"/>
        </w:numPr>
        <w:jc w:val="both"/>
        <w:rPr>
          <w:b/>
          <w:lang w:val="sr-Cyrl-CS"/>
        </w:rPr>
      </w:pPr>
      <w:r>
        <w:rPr>
          <w:lang w:val="sr-Cyrl-CS"/>
        </w:rPr>
        <w:t>„</w:t>
      </w:r>
      <w:r>
        <w:rPr>
          <w:lang w:val="sr-Latn-CS"/>
        </w:rPr>
        <w:t xml:space="preserve">GRBIĆ GRADNJA“ Marko Grbić, s.p. </w:t>
      </w:r>
      <w:r>
        <w:rPr>
          <w:lang w:val="sr-Cyrl-CS"/>
        </w:rPr>
        <w:t>Приједор,</w:t>
      </w:r>
      <w:r>
        <w:rPr>
          <w:b/>
          <w:lang w:val="sr-Cyrl-CS"/>
        </w:rPr>
        <w:t xml:space="preserve"> </w:t>
      </w:r>
      <w:r>
        <w:rPr>
          <w:lang w:val="sr-Cyrl-CS"/>
        </w:rPr>
        <w:t xml:space="preserve">укупна вриједност </w:t>
      </w:r>
    </w:p>
    <w:p>
      <w:pPr>
        <w:jc w:val="both"/>
        <w:rPr>
          <w:b/>
          <w:lang w:val="sr-Cyrl-CS"/>
        </w:rPr>
      </w:pPr>
      <w:r>
        <w:rPr>
          <w:lang w:val="sr-Cyrl-CS"/>
        </w:rPr>
        <w:t xml:space="preserve">понуде </w:t>
      </w:r>
      <w:r>
        <w:rPr>
          <w:b/>
          <w:lang w:val="sr-Cyrl-CS"/>
        </w:rPr>
        <w:t>64.700,07 К</w:t>
      </w:r>
      <w:r>
        <w:rPr>
          <w:b/>
          <w:lang w:val="sr-Latn-CS"/>
        </w:rPr>
        <w:t>M</w:t>
      </w:r>
      <w:r>
        <w:rPr>
          <w:b/>
          <w:lang w:val="sr-Cyrl-CS"/>
        </w:rPr>
        <w:t xml:space="preserve"> </w:t>
      </w:r>
      <w:r>
        <w:rPr>
          <w:lang w:val="sr-Cyrl-CS"/>
        </w:rPr>
        <w:t xml:space="preserve">без ПДВ-а,односно укупна вриједност понуде </w:t>
      </w:r>
      <w:r>
        <w:rPr>
          <w:b/>
          <w:lang w:val="sr-Cyrl-CS"/>
        </w:rPr>
        <w:t>75.699,08 КМ са ПДВ-ом.</w:t>
      </w:r>
    </w:p>
    <w:p>
      <w:pPr>
        <w:jc w:val="both"/>
        <w:rPr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Након јавног отварања Комисија је приступила анализи понуда и испитивању квалификационих  услова прописаних тендерском документацијом. Комисија је вршила  анализу  сваког документа појединачно, његову важност  као и рачунску  исправност понуде. </w:t>
      </w:r>
    </w:p>
    <w:p>
      <w:pPr>
        <w:jc w:val="both"/>
        <w:rPr>
          <w:color w:val="000000" w:themeColor="text1"/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color w:val="000000" w:themeColor="text1"/>
          <w:lang w:val="sr-Cyrl-CS"/>
        </w:rPr>
        <w:t>Детаљном анализом</w:t>
      </w:r>
      <w:r>
        <w:rPr>
          <w:lang w:val="sr-Cyrl-CS"/>
        </w:rPr>
        <w:t xml:space="preserve"> квалификационих докумената утврђено је да  обе достављене понуде испуњавају квалификационе услове прописане тендерском документацијом те су прихватљиве за уговорни орган 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Такође, извршена је рачунска контрола исправности понуда  и утврђено је да нема рачунских грешака.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С обзиром да су две достављене  понуде оцијењене као прихватљиве за уговорни орган, испуњени су услови за  провођење поступка  е-аукције, која је заказана за дан </w:t>
      </w:r>
      <w:r>
        <w:rPr>
          <w:b/>
          <w:lang w:val="sr-Cyrl-CS"/>
        </w:rPr>
        <w:t>19.08.2019.године , са почетком у 09:00 часова</w:t>
      </w:r>
      <w:r>
        <w:rPr>
          <w:lang w:val="sr-Cyrl-CS"/>
        </w:rPr>
        <w:t>, у трајању од 10 минута. У систем Е-аукције унесене су сљедеће вриједности понуда без ПДВ-а:</w:t>
      </w:r>
    </w:p>
    <w:p>
      <w:pPr>
        <w:jc w:val="both"/>
        <w:rPr>
          <w:lang w:val="sr-Cyrl-CS"/>
        </w:rPr>
      </w:pPr>
    </w:p>
    <w:p>
      <w:pPr>
        <w:jc w:val="both"/>
        <w:rPr>
          <w:b/>
          <w:lang w:val="ru-RU"/>
        </w:rPr>
      </w:pPr>
      <w:r>
        <w:rPr>
          <w:b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Style w:val="14"/>
        <w:tblW w:w="8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5214"/>
        <w:gridCol w:w="2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Р.бр. </w:t>
            </w:r>
          </w:p>
        </w:tc>
        <w:tc>
          <w:tcPr>
            <w:tcW w:w="5214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  </w:t>
            </w: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930" w:type="dxa"/>
          </w:tcPr>
          <w:p>
            <w:pPr>
              <w:jc w:val="both"/>
              <w:rPr>
                <w:lang w:val="ru-RU"/>
              </w:rPr>
            </w:pP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Цијена  у КМ без ПДВ-а</w:t>
            </w:r>
          </w:p>
          <w:p>
            <w:pPr>
              <w:jc w:val="both"/>
              <w:rPr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214" w:type="dxa"/>
          </w:tcPr>
          <w:p>
            <w:pPr>
              <w:jc w:val="both"/>
              <w:rPr>
                <w:b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„</w:t>
            </w:r>
            <w:r>
              <w:rPr>
                <w:sz w:val="22"/>
                <w:szCs w:val="22"/>
                <w:lang w:val="sr-Latn-CS"/>
              </w:rPr>
              <w:t xml:space="preserve">GRBIĆ GRADNJA“ Marko Grbić, s.p. </w:t>
            </w:r>
            <w:r>
              <w:rPr>
                <w:sz w:val="22"/>
                <w:szCs w:val="22"/>
                <w:lang w:val="sr-Cyrl-CS"/>
              </w:rPr>
              <w:t>Приједор</w:t>
            </w:r>
          </w:p>
        </w:tc>
        <w:tc>
          <w:tcPr>
            <w:tcW w:w="2930" w:type="dxa"/>
          </w:tcPr>
          <w:p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64.700,07</w:t>
            </w:r>
            <w:r>
              <w:rPr>
                <w:lang w:val="ru-RU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sr-Latn-CS"/>
              </w:rPr>
            </w:pPr>
            <w:r>
              <w:rPr>
                <w:lang w:val="sr-Latn-CS"/>
              </w:rPr>
              <w:t>2.</w:t>
            </w:r>
          </w:p>
        </w:tc>
        <w:tc>
          <w:tcPr>
            <w:tcW w:w="5214" w:type="dxa"/>
          </w:tcPr>
          <w:p>
            <w:pPr>
              <w:jc w:val="both"/>
              <w:rPr>
                <w:lang w:val="sr-Cyrl-CS"/>
              </w:rPr>
            </w:pPr>
            <w:r>
              <w:rPr>
                <w:lang w:val="sr-Latn-CS"/>
              </w:rPr>
              <w:t xml:space="preserve">„PRIMAPROM“ </w:t>
            </w:r>
            <w:r>
              <w:rPr>
                <w:lang w:val="sr-Cyrl-CS"/>
              </w:rPr>
              <w:t xml:space="preserve"> д.о.о. Бања Лука </w:t>
            </w:r>
          </w:p>
        </w:tc>
        <w:tc>
          <w:tcPr>
            <w:tcW w:w="2930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64.800,02</w:t>
            </w:r>
          </w:p>
        </w:tc>
      </w:tr>
    </w:tbl>
    <w:p>
      <w:pPr>
        <w:jc w:val="both"/>
        <w:rPr>
          <w:lang w:val="ru-RU"/>
        </w:rPr>
      </w:pPr>
    </w:p>
    <w:p>
      <w:pPr>
        <w:jc w:val="both"/>
        <w:rPr>
          <w:lang w:val="ru-RU"/>
        </w:rPr>
      </w:pPr>
      <w:r>
        <w:rPr>
          <w:lang w:val="ru-RU"/>
        </w:rPr>
        <w:t>*На понуду се примјењује преференцијални третман домаћег  јер је наведени понуђач заокружио  примјену  преференцијалног третмана  (изјаву).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Е-аукција је започела  у 09:00:00 часова а окончана у 09:14:00 часова. Током трајања Е-аукције понуђачи су подносили нове цијене  и снижавали понуде.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По окончаној Е-аукцији сачињена је коначна  ранг листа: </w:t>
      </w:r>
    </w:p>
    <w:p>
      <w:pPr>
        <w:jc w:val="both"/>
        <w:rPr>
          <w:lang w:val="sr-Cyrl-CS"/>
        </w:rPr>
      </w:pPr>
    </w:p>
    <w:p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Style w:val="14"/>
        <w:tblW w:w="8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5152"/>
        <w:gridCol w:w="1910"/>
        <w:gridCol w:w="1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Р.бр. </w:t>
            </w:r>
          </w:p>
        </w:tc>
        <w:tc>
          <w:tcPr>
            <w:tcW w:w="515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  </w:t>
            </w: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10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Коначна цијена  у КМ без ПДВ-а</w:t>
            </w:r>
          </w:p>
          <w:p>
            <w:pPr>
              <w:jc w:val="both"/>
              <w:rPr>
                <w:lang w:val="ru-RU"/>
              </w:rPr>
            </w:pPr>
          </w:p>
        </w:tc>
        <w:tc>
          <w:tcPr>
            <w:tcW w:w="108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152" w:type="dxa"/>
          </w:tcPr>
          <w:p>
            <w:pPr>
              <w:jc w:val="both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„</w:t>
            </w:r>
            <w:r>
              <w:rPr>
                <w:b/>
                <w:sz w:val="22"/>
                <w:szCs w:val="22"/>
                <w:lang w:val="sr-Latn-CS"/>
              </w:rPr>
              <w:t xml:space="preserve">GRBIĆ GRADNJA“ Marko Grbić, s.p. </w:t>
            </w:r>
            <w:r>
              <w:rPr>
                <w:b/>
                <w:sz w:val="22"/>
                <w:szCs w:val="22"/>
                <w:lang w:val="sr-Cyrl-CS"/>
              </w:rPr>
              <w:t>Приједор</w:t>
            </w:r>
          </w:p>
        </w:tc>
        <w:tc>
          <w:tcPr>
            <w:tcW w:w="1910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54.950,00*</w:t>
            </w:r>
          </w:p>
        </w:tc>
        <w:tc>
          <w:tcPr>
            <w:tcW w:w="108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152" w:type="dxa"/>
          </w:tcPr>
          <w:p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 xml:space="preserve">„PRIMAPROM“ </w:t>
            </w:r>
            <w:r>
              <w:rPr>
                <w:b/>
                <w:lang w:val="sr-Cyrl-CS"/>
              </w:rPr>
              <w:t xml:space="preserve"> д.о.о. Бања Лука</w:t>
            </w:r>
          </w:p>
        </w:tc>
        <w:tc>
          <w:tcPr>
            <w:tcW w:w="1910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55.038,00</w:t>
            </w:r>
          </w:p>
        </w:tc>
        <w:tc>
          <w:tcPr>
            <w:tcW w:w="108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p>
      <w:pPr>
        <w:jc w:val="both"/>
        <w:rPr>
          <w:lang w:val="sr-Cyrl-CS"/>
        </w:rPr>
      </w:pPr>
      <w:r>
        <w:rPr>
          <w:lang w:val="ru-RU"/>
        </w:rPr>
        <w:t>*</w:t>
      </w:r>
      <w:r>
        <w:rPr>
          <w:lang w:val="sr-Cyrl-CS"/>
        </w:rPr>
        <w:t>Означава цијену на коју се примјењује  преференцијални  третман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По окончаној е-аукцији евидентно је  да је цијена најповољније понуде снижена за </w:t>
      </w:r>
      <w:r>
        <w:rPr>
          <w:b/>
          <w:lang w:val="sr-Cyrl-CS"/>
        </w:rPr>
        <w:t>9.750,07 КМ.</w:t>
      </w:r>
    </w:p>
    <w:p>
      <w:pPr>
        <w:autoSpaceDE w:val="0"/>
        <w:autoSpaceDN w:val="0"/>
        <w:adjustRightInd w:val="0"/>
        <w:ind w:right="-360"/>
        <w:jc w:val="both"/>
        <w:rPr>
          <w:lang w:val="sr-Latn-CS"/>
        </w:rPr>
      </w:pPr>
      <w:r>
        <w:rPr>
          <w:lang w:val="sr-Cyrl-CS"/>
        </w:rPr>
        <w:t xml:space="preserve">Даље анализирано је снижење укупне цијене понуде понуђача </w:t>
      </w:r>
      <w:r>
        <w:rPr>
          <w:sz w:val="22"/>
          <w:szCs w:val="22"/>
          <w:lang w:val="sr-Cyrl-CS"/>
        </w:rPr>
        <w:t>„</w:t>
      </w:r>
      <w:r>
        <w:rPr>
          <w:sz w:val="22"/>
          <w:szCs w:val="22"/>
          <w:lang w:val="sr-Latn-CS"/>
        </w:rPr>
        <w:t xml:space="preserve">GRBIĆ GRADNJA“ Marko Grbić, s.p. </w:t>
      </w:r>
      <w:r>
        <w:rPr>
          <w:sz w:val="22"/>
          <w:szCs w:val="22"/>
          <w:lang w:val="sr-Cyrl-CS"/>
        </w:rPr>
        <w:t>Приједор</w:t>
      </w:r>
      <w:r>
        <w:rPr>
          <w:lang w:val="sr-Cyrl-CS"/>
        </w:rPr>
        <w:t xml:space="preserve">, као најповољнијег  понуђача у овом поступку набавке  по окончаној Е-аукцији, те је констатовано следеће: </w:t>
      </w:r>
    </w:p>
    <w:p>
      <w:pPr>
        <w:autoSpaceDE w:val="0"/>
        <w:autoSpaceDN w:val="0"/>
        <w:adjustRightInd w:val="0"/>
        <w:ind w:right="-360"/>
        <w:jc w:val="both"/>
        <w:rPr>
          <w:lang w:val="sr-Latn-CS"/>
        </w:rPr>
      </w:pPr>
    </w:p>
    <w:p>
      <w:pPr>
        <w:jc w:val="both"/>
        <w:rPr>
          <w:lang w:val="ru-RU"/>
        </w:rPr>
      </w:pPr>
      <w:r>
        <w:rPr>
          <w:lang w:val="sr-Latn-CS"/>
        </w:rPr>
        <w:t xml:space="preserve">            </w:t>
      </w:r>
      <w:r>
        <w:rPr>
          <w:lang w:val="sr-Cyrl-CS"/>
        </w:rPr>
        <w:t>- почетна цијена ..........................</w:t>
      </w:r>
      <w:r>
        <w:rPr>
          <w:lang w:val="ru-RU"/>
        </w:rPr>
        <w:t xml:space="preserve"> 64.700,07  КМ</w:t>
      </w:r>
    </w:p>
    <w:p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коначна цијена ........................... 54.950,00  КМ</w:t>
      </w:r>
      <w:r>
        <w:rPr>
          <w:lang w:val="ru-RU"/>
        </w:rPr>
        <w:tab/>
      </w:r>
    </w:p>
    <w:p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смањење цијене .........................  9.750,07   КМ</w:t>
      </w:r>
    </w:p>
    <w:p>
      <w:pPr>
        <w:jc w:val="both"/>
        <w:rPr>
          <w:lang w:val="ru-RU"/>
        </w:rPr>
      </w:pPr>
      <w:r>
        <w:rPr>
          <w:lang w:val="ru-RU"/>
        </w:rPr>
        <w:t xml:space="preserve">            - смањење цијене  .......................  15,07 %</w:t>
      </w:r>
    </w:p>
    <w:p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У складу са Правилником  о условима и начину кориштења Е-аукције, „Службени гласник БиХ“, број 66/16, члан 8.став 3), за коначно процентуално умањење укупне цијене  понуде од </w:t>
      </w:r>
      <w:r>
        <w:rPr>
          <w:lang w:val="sr-Latn-CS"/>
        </w:rPr>
        <w:t>1</w:t>
      </w:r>
      <w:r>
        <w:rPr>
          <w:lang w:val="sr-Cyrl-CS"/>
        </w:rPr>
        <w:t>5,07</w:t>
      </w:r>
      <w:r>
        <w:rPr>
          <w:lang w:val="sr-Latn-CS"/>
        </w:rPr>
        <w:t xml:space="preserve">% </w:t>
      </w:r>
      <w:r>
        <w:rPr>
          <w:lang w:val="sr-Cyrl-CS"/>
        </w:rPr>
        <w:t xml:space="preserve">  умањује се вриједност сваке појединачне ставке предмјера радова, те се на тако умањење цијене нуди закључење уговора  најповољнијем понуђачу.  </w:t>
      </w:r>
    </w:p>
    <w:p>
      <w:pPr>
        <w:jc w:val="both"/>
        <w:rPr>
          <w:b/>
          <w:sz w:val="22"/>
          <w:szCs w:val="22"/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Након извршене анализе почетних прихватљивих понуда, проведене Е-аукције и коначне анализе понуда, Комисија је директору доставила препоруку  за додјелу уговора понуђачу са записницима о оцјени понуда и приједлогом  за доношење Одлуке о избору најповољнијег понуђача, а то је понуђач: </w:t>
      </w:r>
      <w:r>
        <w:rPr>
          <w:b/>
          <w:sz w:val="22"/>
          <w:szCs w:val="22"/>
          <w:lang w:val="sr-Cyrl-CS"/>
        </w:rPr>
        <w:t>„</w:t>
      </w:r>
      <w:r>
        <w:rPr>
          <w:b/>
          <w:sz w:val="22"/>
          <w:szCs w:val="22"/>
          <w:lang w:val="sr-Latn-CS"/>
        </w:rPr>
        <w:t xml:space="preserve">GRBIĆ GRADNJA“ Marko Grbić, s.p. </w:t>
      </w:r>
      <w:r>
        <w:rPr>
          <w:b/>
          <w:sz w:val="22"/>
          <w:szCs w:val="22"/>
          <w:lang w:val="sr-Cyrl-CS"/>
        </w:rPr>
        <w:t>Приједор</w:t>
      </w:r>
      <w:r>
        <w:rPr>
          <w:b/>
          <w:lang w:val="sr-Cyrl-CS"/>
        </w:rPr>
        <w:t xml:space="preserve">,  на коначну укупну понуђену цијену понуде од 54.950,00 КМ без урачунатог ПДВ-а, односно 64.291,50 КМ са ПДВ-ом.   </w:t>
      </w:r>
      <w:r>
        <w:rPr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Разматрајући препоруку Комисије за додјелу уговора, утврђено је да су разлози за избор најповољнијег понуђача опрадвдани, у складу са чланом 64., 65. и 70. Закона о јавним набавкама. </w:t>
      </w:r>
    </w:p>
    <w:p>
      <w:pPr>
        <w:jc w:val="both"/>
        <w:rPr>
          <w:b/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>
      <w:pPr>
        <w:jc w:val="both"/>
        <w:rPr>
          <w:b/>
          <w:lang w:val="ru-RU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Број:</w:t>
      </w:r>
      <w:r>
        <w:t>1216</w:t>
      </w:r>
      <w:r>
        <w:rPr>
          <w:lang w:val="sr-Cyrl-CS"/>
        </w:rPr>
        <w:t>/19-О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 xml:space="preserve">                                     ДИРЕКТОР</w:t>
      </w:r>
    </w:p>
    <w:p>
      <w:pPr>
        <w:pStyle w:val="5"/>
      </w:pPr>
      <w:r>
        <w:rPr>
          <w:b w:val="0"/>
        </w:rPr>
        <w:t xml:space="preserve">Дана: </w:t>
      </w:r>
      <w:r>
        <w:rPr>
          <w:b w:val="0"/>
          <w:lang w:val="en-US"/>
        </w:rPr>
        <w:t>21.08</w:t>
      </w:r>
      <w:r>
        <w:rPr>
          <w:b w:val="0"/>
        </w:rPr>
        <w:t>.08.2019.год.</w:t>
      </w:r>
      <w:r>
        <w:tab/>
      </w:r>
      <w:r>
        <w:t xml:space="preserve">                                                 Драшко Илић, дипл.екон.</w:t>
      </w:r>
    </w:p>
    <w:p>
      <w:pPr>
        <w:rPr>
          <w:lang w:val="sr-Cyrl-CS"/>
        </w:rPr>
      </w:pPr>
    </w:p>
    <w:p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______________________</w:t>
      </w:r>
    </w:p>
    <w:p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</w:p>
    <w:p>
      <w:pPr>
        <w:rPr>
          <w:lang w:val="sr-Cyrl-CS"/>
        </w:rPr>
      </w:pPr>
    </w:p>
    <w:sectPr>
      <w:pgSz w:w="12240" w:h="15840"/>
      <w:pgMar w:top="540" w:right="1800" w:bottom="36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D5C58"/>
    <w:multiLevelType w:val="multilevel"/>
    <w:tmpl w:val="106D5C5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85226"/>
    <w:multiLevelType w:val="multilevel"/>
    <w:tmpl w:val="5AE8522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oNotTrackMoves/>
  <w:documentProtection w:enforcement="0"/>
  <w:defaultTabStop w:val="720"/>
  <w:drawingGridHorizontalSpacing w:val="57"/>
  <w:displayVerticalDrawingGridEvery w:val="2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3A6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2016"/>
    <w:rsid w:val="00072B11"/>
    <w:rsid w:val="0007349E"/>
    <w:rsid w:val="000739B2"/>
    <w:rsid w:val="00080456"/>
    <w:rsid w:val="000827B0"/>
    <w:rsid w:val="00086103"/>
    <w:rsid w:val="00087978"/>
    <w:rsid w:val="00093890"/>
    <w:rsid w:val="00094570"/>
    <w:rsid w:val="000974AD"/>
    <w:rsid w:val="000A32E0"/>
    <w:rsid w:val="000A4CF2"/>
    <w:rsid w:val="000A5DBB"/>
    <w:rsid w:val="000A5FC0"/>
    <w:rsid w:val="000A7779"/>
    <w:rsid w:val="000B03CF"/>
    <w:rsid w:val="000B3BE0"/>
    <w:rsid w:val="000C46B9"/>
    <w:rsid w:val="000C521D"/>
    <w:rsid w:val="000D1AE6"/>
    <w:rsid w:val="000D2772"/>
    <w:rsid w:val="000E26C4"/>
    <w:rsid w:val="000E659D"/>
    <w:rsid w:val="000E74AA"/>
    <w:rsid w:val="000E7BB6"/>
    <w:rsid w:val="000F00C0"/>
    <w:rsid w:val="000F312E"/>
    <w:rsid w:val="000F633F"/>
    <w:rsid w:val="00101C26"/>
    <w:rsid w:val="00105147"/>
    <w:rsid w:val="00105486"/>
    <w:rsid w:val="00112019"/>
    <w:rsid w:val="001126A7"/>
    <w:rsid w:val="00117044"/>
    <w:rsid w:val="001179DF"/>
    <w:rsid w:val="001229D4"/>
    <w:rsid w:val="00133FCB"/>
    <w:rsid w:val="0013715E"/>
    <w:rsid w:val="0014033D"/>
    <w:rsid w:val="001431C1"/>
    <w:rsid w:val="001452B5"/>
    <w:rsid w:val="00161D5A"/>
    <w:rsid w:val="00162B91"/>
    <w:rsid w:val="00163B05"/>
    <w:rsid w:val="0017536F"/>
    <w:rsid w:val="001808A0"/>
    <w:rsid w:val="00186E1E"/>
    <w:rsid w:val="00193871"/>
    <w:rsid w:val="001A0438"/>
    <w:rsid w:val="001A12E9"/>
    <w:rsid w:val="001A1C83"/>
    <w:rsid w:val="001A2F67"/>
    <w:rsid w:val="001A6F3A"/>
    <w:rsid w:val="001B0189"/>
    <w:rsid w:val="001B0597"/>
    <w:rsid w:val="001B0E89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44E8"/>
    <w:rsid w:val="001E6E40"/>
    <w:rsid w:val="001F2865"/>
    <w:rsid w:val="001F28E5"/>
    <w:rsid w:val="001F33CB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36D5"/>
    <w:rsid w:val="002360EF"/>
    <w:rsid w:val="00237B4A"/>
    <w:rsid w:val="00245B53"/>
    <w:rsid w:val="00252B97"/>
    <w:rsid w:val="00260E3E"/>
    <w:rsid w:val="00261A62"/>
    <w:rsid w:val="00267583"/>
    <w:rsid w:val="0028375A"/>
    <w:rsid w:val="00284576"/>
    <w:rsid w:val="002875BB"/>
    <w:rsid w:val="00287656"/>
    <w:rsid w:val="002A1AA5"/>
    <w:rsid w:val="002A31CA"/>
    <w:rsid w:val="002B47FC"/>
    <w:rsid w:val="002B7A90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4569"/>
    <w:rsid w:val="00325FFA"/>
    <w:rsid w:val="003265DD"/>
    <w:rsid w:val="00326DA7"/>
    <w:rsid w:val="00327F2A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3EFA"/>
    <w:rsid w:val="00405398"/>
    <w:rsid w:val="00406A9A"/>
    <w:rsid w:val="004109C2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8CB"/>
    <w:rsid w:val="0045725E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F6A45"/>
    <w:rsid w:val="00502C43"/>
    <w:rsid w:val="00506116"/>
    <w:rsid w:val="00510A10"/>
    <w:rsid w:val="00511DD3"/>
    <w:rsid w:val="005149EC"/>
    <w:rsid w:val="0051554C"/>
    <w:rsid w:val="00527EAF"/>
    <w:rsid w:val="005359F7"/>
    <w:rsid w:val="00542D28"/>
    <w:rsid w:val="005459F8"/>
    <w:rsid w:val="00546822"/>
    <w:rsid w:val="00547A1E"/>
    <w:rsid w:val="00547FEA"/>
    <w:rsid w:val="005530B5"/>
    <w:rsid w:val="00557A28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7DC8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5774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556A"/>
    <w:rsid w:val="00636CC9"/>
    <w:rsid w:val="006376CE"/>
    <w:rsid w:val="006405E2"/>
    <w:rsid w:val="00641C1F"/>
    <w:rsid w:val="00655E7A"/>
    <w:rsid w:val="00657447"/>
    <w:rsid w:val="00666FFB"/>
    <w:rsid w:val="0068636E"/>
    <w:rsid w:val="006A0746"/>
    <w:rsid w:val="006A1FDE"/>
    <w:rsid w:val="006A2C6D"/>
    <w:rsid w:val="006A74F7"/>
    <w:rsid w:val="006B4432"/>
    <w:rsid w:val="006B484C"/>
    <w:rsid w:val="006B6F42"/>
    <w:rsid w:val="006C5624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3303"/>
    <w:rsid w:val="0078335C"/>
    <w:rsid w:val="00792F1D"/>
    <w:rsid w:val="007A39E8"/>
    <w:rsid w:val="007A6AFD"/>
    <w:rsid w:val="007B0CDC"/>
    <w:rsid w:val="007B6DB5"/>
    <w:rsid w:val="007B6F20"/>
    <w:rsid w:val="007C265D"/>
    <w:rsid w:val="007C786F"/>
    <w:rsid w:val="007D7CDA"/>
    <w:rsid w:val="007E026E"/>
    <w:rsid w:val="007E182C"/>
    <w:rsid w:val="007E387F"/>
    <w:rsid w:val="007E66B4"/>
    <w:rsid w:val="00802029"/>
    <w:rsid w:val="00804E8E"/>
    <w:rsid w:val="00804EA1"/>
    <w:rsid w:val="0080771C"/>
    <w:rsid w:val="00807818"/>
    <w:rsid w:val="00815AC5"/>
    <w:rsid w:val="00816E20"/>
    <w:rsid w:val="008251E2"/>
    <w:rsid w:val="00835059"/>
    <w:rsid w:val="008376C4"/>
    <w:rsid w:val="00843358"/>
    <w:rsid w:val="00843E76"/>
    <w:rsid w:val="00852DA9"/>
    <w:rsid w:val="0085415B"/>
    <w:rsid w:val="008551E9"/>
    <w:rsid w:val="00857E6D"/>
    <w:rsid w:val="00861FC4"/>
    <w:rsid w:val="00862E30"/>
    <w:rsid w:val="00863FFC"/>
    <w:rsid w:val="00866D33"/>
    <w:rsid w:val="008711A1"/>
    <w:rsid w:val="008716C7"/>
    <w:rsid w:val="00874C2C"/>
    <w:rsid w:val="008822C8"/>
    <w:rsid w:val="0088680D"/>
    <w:rsid w:val="008879F0"/>
    <w:rsid w:val="00891B43"/>
    <w:rsid w:val="00894F54"/>
    <w:rsid w:val="00897B4D"/>
    <w:rsid w:val="008B6052"/>
    <w:rsid w:val="008B7BF1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1682"/>
    <w:rsid w:val="00922FBA"/>
    <w:rsid w:val="00927E4A"/>
    <w:rsid w:val="009303A8"/>
    <w:rsid w:val="009306A7"/>
    <w:rsid w:val="00932174"/>
    <w:rsid w:val="00935008"/>
    <w:rsid w:val="00937359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24158"/>
    <w:rsid w:val="00A32CED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3D1"/>
    <w:rsid w:val="00A83AA9"/>
    <w:rsid w:val="00A87014"/>
    <w:rsid w:val="00A90F5C"/>
    <w:rsid w:val="00AA4040"/>
    <w:rsid w:val="00AA4F59"/>
    <w:rsid w:val="00AB0561"/>
    <w:rsid w:val="00AC4E8B"/>
    <w:rsid w:val="00AD34A1"/>
    <w:rsid w:val="00AD420A"/>
    <w:rsid w:val="00AD4783"/>
    <w:rsid w:val="00AD6D34"/>
    <w:rsid w:val="00AE2216"/>
    <w:rsid w:val="00AE5BC8"/>
    <w:rsid w:val="00AF1181"/>
    <w:rsid w:val="00AF2896"/>
    <w:rsid w:val="00AF62AD"/>
    <w:rsid w:val="00AF684E"/>
    <w:rsid w:val="00B04006"/>
    <w:rsid w:val="00B05F85"/>
    <w:rsid w:val="00B06142"/>
    <w:rsid w:val="00B15432"/>
    <w:rsid w:val="00B211C6"/>
    <w:rsid w:val="00B217E4"/>
    <w:rsid w:val="00B23F4F"/>
    <w:rsid w:val="00B2463A"/>
    <w:rsid w:val="00B25CA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21CF"/>
    <w:rsid w:val="00B85448"/>
    <w:rsid w:val="00B9108C"/>
    <w:rsid w:val="00B91D86"/>
    <w:rsid w:val="00BA123A"/>
    <w:rsid w:val="00BA6DB3"/>
    <w:rsid w:val="00BB4015"/>
    <w:rsid w:val="00BB654D"/>
    <w:rsid w:val="00BC4B40"/>
    <w:rsid w:val="00BC5EF1"/>
    <w:rsid w:val="00BC62AB"/>
    <w:rsid w:val="00BD6BE0"/>
    <w:rsid w:val="00BE1430"/>
    <w:rsid w:val="00BE1D80"/>
    <w:rsid w:val="00BE4CF9"/>
    <w:rsid w:val="00BF0A2A"/>
    <w:rsid w:val="00C01483"/>
    <w:rsid w:val="00C05CA1"/>
    <w:rsid w:val="00C06CB7"/>
    <w:rsid w:val="00C0716F"/>
    <w:rsid w:val="00C1323F"/>
    <w:rsid w:val="00C1357D"/>
    <w:rsid w:val="00C14BEC"/>
    <w:rsid w:val="00C245B8"/>
    <w:rsid w:val="00C34A76"/>
    <w:rsid w:val="00C37172"/>
    <w:rsid w:val="00C40CD5"/>
    <w:rsid w:val="00C53935"/>
    <w:rsid w:val="00C54609"/>
    <w:rsid w:val="00C54791"/>
    <w:rsid w:val="00C60153"/>
    <w:rsid w:val="00C6606A"/>
    <w:rsid w:val="00C73FFA"/>
    <w:rsid w:val="00C75A2A"/>
    <w:rsid w:val="00C864F2"/>
    <w:rsid w:val="00C875BC"/>
    <w:rsid w:val="00C96872"/>
    <w:rsid w:val="00CA4176"/>
    <w:rsid w:val="00CA509D"/>
    <w:rsid w:val="00CA5C31"/>
    <w:rsid w:val="00CA65C0"/>
    <w:rsid w:val="00CA6FFD"/>
    <w:rsid w:val="00CB0CA2"/>
    <w:rsid w:val="00CB0DA4"/>
    <w:rsid w:val="00CB1E33"/>
    <w:rsid w:val="00CB4604"/>
    <w:rsid w:val="00CB4A15"/>
    <w:rsid w:val="00CB6F93"/>
    <w:rsid w:val="00CC09A1"/>
    <w:rsid w:val="00CC2805"/>
    <w:rsid w:val="00CC548E"/>
    <w:rsid w:val="00CD17BE"/>
    <w:rsid w:val="00CD2541"/>
    <w:rsid w:val="00CE34F6"/>
    <w:rsid w:val="00CE4198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A0A"/>
    <w:rsid w:val="00D70D8F"/>
    <w:rsid w:val="00D72888"/>
    <w:rsid w:val="00D74367"/>
    <w:rsid w:val="00D7489A"/>
    <w:rsid w:val="00D7759C"/>
    <w:rsid w:val="00D817BC"/>
    <w:rsid w:val="00D83F37"/>
    <w:rsid w:val="00D867AD"/>
    <w:rsid w:val="00D86D7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6256"/>
    <w:rsid w:val="00DF6E45"/>
    <w:rsid w:val="00E00E30"/>
    <w:rsid w:val="00E04422"/>
    <w:rsid w:val="00E05010"/>
    <w:rsid w:val="00E07949"/>
    <w:rsid w:val="00E12726"/>
    <w:rsid w:val="00E13087"/>
    <w:rsid w:val="00E134ED"/>
    <w:rsid w:val="00E13C75"/>
    <w:rsid w:val="00E152B9"/>
    <w:rsid w:val="00E16889"/>
    <w:rsid w:val="00E31F34"/>
    <w:rsid w:val="00E37584"/>
    <w:rsid w:val="00E40DBB"/>
    <w:rsid w:val="00E42455"/>
    <w:rsid w:val="00E438CE"/>
    <w:rsid w:val="00E43BD9"/>
    <w:rsid w:val="00E4662C"/>
    <w:rsid w:val="00E47C60"/>
    <w:rsid w:val="00E50313"/>
    <w:rsid w:val="00E50661"/>
    <w:rsid w:val="00E52795"/>
    <w:rsid w:val="00E5279D"/>
    <w:rsid w:val="00E56082"/>
    <w:rsid w:val="00E6492B"/>
    <w:rsid w:val="00E6793C"/>
    <w:rsid w:val="00E72761"/>
    <w:rsid w:val="00E74B8B"/>
    <w:rsid w:val="00E818DD"/>
    <w:rsid w:val="00E84CE3"/>
    <w:rsid w:val="00E851C2"/>
    <w:rsid w:val="00E8615F"/>
    <w:rsid w:val="00E91955"/>
    <w:rsid w:val="00E9306A"/>
    <w:rsid w:val="00E976A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37EC"/>
    <w:rsid w:val="00ED7057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16BF"/>
    <w:rsid w:val="00F82366"/>
    <w:rsid w:val="00F84775"/>
    <w:rsid w:val="00F84F87"/>
    <w:rsid w:val="00F90140"/>
    <w:rsid w:val="00F90947"/>
    <w:rsid w:val="00F91C00"/>
    <w:rsid w:val="00F920EA"/>
    <w:rsid w:val="00F92A57"/>
    <w:rsid w:val="00FA2AD4"/>
    <w:rsid w:val="00FA5678"/>
    <w:rsid w:val="00FB1E28"/>
    <w:rsid w:val="00FB3F1B"/>
    <w:rsid w:val="00FB6067"/>
    <w:rsid w:val="00FB6ED9"/>
    <w:rsid w:val="00FC29AA"/>
    <w:rsid w:val="00FC6493"/>
    <w:rsid w:val="00FC6525"/>
    <w:rsid w:val="00FC7F7F"/>
    <w:rsid w:val="00FD631A"/>
    <w:rsid w:val="00FD6551"/>
    <w:rsid w:val="00FE4280"/>
    <w:rsid w:val="00FF435E"/>
    <w:rsid w:val="00FF6CB9"/>
    <w:rsid w:val="00FF70C2"/>
    <w:rsid w:val="00FF7C55"/>
    <w:rsid w:val="00FF7F23"/>
    <w:rsid w:val="3728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b/>
      <w:bCs/>
      <w:lang w:val="sr-Cyrl-CS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Cs w:val="20"/>
      <w:lang w:val="sr-Cyrl-CS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szCs w:val="20"/>
      <w:lang w:val="sr-Cyrl-CS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12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uiPriority w:val="0"/>
    <w:pPr>
      <w:jc w:val="both"/>
    </w:pPr>
    <w:rPr>
      <w:b/>
      <w:bCs/>
      <w:lang w:val="sr-Cyrl-CS"/>
    </w:rPr>
  </w:style>
  <w:style w:type="paragraph" w:styleId="8">
    <w:name w:val="Body Text 2"/>
    <w:basedOn w:val="1"/>
    <w:uiPriority w:val="0"/>
    <w:pPr>
      <w:jc w:val="both"/>
    </w:pPr>
    <w:rPr>
      <w:szCs w:val="20"/>
      <w:lang w:val="sr-Cyrl-CS"/>
    </w:rPr>
  </w:style>
  <w:style w:type="paragraph" w:styleId="9">
    <w:name w:val="Body Text Indent"/>
    <w:basedOn w:val="1"/>
    <w:qFormat/>
    <w:uiPriority w:val="0"/>
    <w:pPr>
      <w:ind w:firstLine="720"/>
      <w:jc w:val="both"/>
    </w:pPr>
    <w:rPr>
      <w:szCs w:val="20"/>
      <w:lang w:val="sr-Cyrl-CS"/>
    </w:rPr>
  </w:style>
  <w:style w:type="paragraph" w:styleId="10">
    <w:name w:val="Body Text Indent 2"/>
    <w:basedOn w:val="1"/>
    <w:qFormat/>
    <w:uiPriority w:val="0"/>
    <w:pPr>
      <w:ind w:firstLine="720"/>
      <w:jc w:val="both"/>
    </w:pPr>
    <w:rPr>
      <w:b/>
      <w:lang w:val="sr-Cyrl-CS"/>
    </w:rPr>
  </w:style>
  <w:style w:type="paragraph" w:styleId="11">
    <w:name w:val="header"/>
    <w:basedOn w:val="1"/>
    <w:link w:val="16"/>
    <w:qFormat/>
    <w:uiPriority w:val="0"/>
    <w:pPr>
      <w:tabs>
        <w:tab w:val="center" w:pos="4536"/>
        <w:tab w:val="right" w:pos="9072"/>
      </w:tabs>
    </w:pPr>
    <w:rPr>
      <w:lang w:val="sr-Latn-CS" w:eastAsia="sr-Latn-CS"/>
    </w:rPr>
  </w:style>
  <w:style w:type="character" w:styleId="13">
    <w:name w:val="Hyperlink"/>
    <w:qFormat/>
    <w:uiPriority w:val="0"/>
    <w:rPr>
      <w:color w:val="0000FF"/>
      <w:u w:val="single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link w:val="11"/>
    <w:qFormat/>
    <w:uiPriority w:val="0"/>
    <w:rPr>
      <w:sz w:val="24"/>
      <w:szCs w:val="24"/>
      <w:lang w:val="sr-Latn-CS" w:eastAsia="sr-Latn-CS"/>
    </w:rPr>
  </w:style>
  <w:style w:type="paragraph" w:styleId="17">
    <w:name w:val="List Paragraph"/>
    <w:basedOn w:val="1"/>
    <w:qFormat/>
    <w:uiPriority w:val="34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4C5A40-0B73-4E44-9C8F-4E1928313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gubl</Company>
  <Pages>4</Pages>
  <Words>1363</Words>
  <Characters>7772</Characters>
  <Lines>64</Lines>
  <Paragraphs>18</Paragraphs>
  <TotalTime>3</TotalTime>
  <ScaleCrop>false</ScaleCrop>
  <LinksUpToDate>false</LinksUpToDate>
  <CharactersWithSpaces>9117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2019-10-24T09:33:00Z</dcterms:created>
  <dc:creator>draga</dc:creator>
  <cp:lastModifiedBy>Korisnik</cp:lastModifiedBy>
  <cp:lastPrinted>2015-10-04T23:50:00Z</cp:lastPrinted>
  <dcterms:modified xsi:type="dcterms:W3CDTF">2019-10-30T12:07:25Z</dcterms:modified>
  <dc:title>Р Е П У Б Л И К А    С Р П С К 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